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C0A1A">
      <w:pPr>
        <w:snapToGrid w:val="0"/>
        <w:spacing w:line="520" w:lineRule="exact"/>
        <w:jc w:val="left"/>
        <w:outlineLvl w:val="0"/>
        <w:rPr>
          <w:rFonts w:hint="default"/>
          <w:color w:val="auto"/>
          <w:highlight w:val="none"/>
          <w:lang w:val="en-US" w:eastAsia="zh-CN"/>
        </w:rPr>
      </w:pPr>
      <w:bookmarkStart w:id="0" w:name="_GoBack"/>
      <w:r>
        <w:rPr>
          <w:rFonts w:hint="eastAsia" w:ascii="黑体" w:hAnsi="黑体" w:eastAsia="黑体" w:cs="黑体"/>
          <w:b w:val="0"/>
          <w:bCs w:val="0"/>
          <w:color w:val="auto"/>
          <w:sz w:val="32"/>
          <w:szCs w:val="32"/>
          <w:highlight w:val="none"/>
          <w:lang w:val="en-US" w:eastAsia="zh-CN"/>
        </w:rPr>
        <w:t>附件3</w:t>
      </w:r>
    </w:p>
    <w:p w14:paraId="5D02D6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eastAsia" w:ascii="方正小标宋简体" w:hAnsi="方正小标宋简体" w:eastAsia="方正小标宋简体" w:cs="方正小标宋简体"/>
          <w:color w:val="auto"/>
          <w:sz w:val="44"/>
          <w:szCs w:val="44"/>
          <w:lang w:val="en-US" w:eastAsia="zh-CN" w:bidi="ar"/>
        </w:rPr>
      </w:pPr>
      <w:r>
        <w:rPr>
          <w:rFonts w:hint="eastAsia" w:ascii="方正小标宋简体" w:hAnsi="方正小标宋简体" w:eastAsia="方正小标宋简体" w:cs="方正小标宋简体"/>
          <w:color w:val="auto"/>
          <w:sz w:val="44"/>
          <w:szCs w:val="44"/>
          <w:lang w:val="en-US" w:eastAsia="zh-CN" w:bidi="ar"/>
        </w:rPr>
        <w:t>评审标准</w:t>
      </w:r>
    </w:p>
    <w:bookmarkEnd w:id="0"/>
    <w:tbl>
      <w:tblPr>
        <w:tblStyle w:val="8"/>
        <w:tblW w:w="498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3"/>
        <w:gridCol w:w="1961"/>
        <w:gridCol w:w="5070"/>
      </w:tblGrid>
      <w:tr w14:paraId="0E752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756" w:type="pct"/>
            <w:vAlign w:val="top"/>
          </w:tcPr>
          <w:p w14:paraId="7196328B">
            <w:pPr>
              <w:pStyle w:val="7"/>
              <w:spacing w:before="114" w:line="220" w:lineRule="auto"/>
              <w:ind w:left="213"/>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pacing w:val="-3"/>
                <w:sz w:val="24"/>
                <w:szCs w:val="24"/>
              </w:rPr>
              <w:t>一级指标</w:t>
            </w:r>
          </w:p>
        </w:tc>
        <w:tc>
          <w:tcPr>
            <w:tcW w:w="1183" w:type="pct"/>
            <w:vAlign w:val="top"/>
          </w:tcPr>
          <w:p w14:paraId="66EB7616">
            <w:pPr>
              <w:pStyle w:val="7"/>
              <w:spacing w:before="114" w:line="218" w:lineRule="auto"/>
              <w:ind w:left="277"/>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pacing w:val="-2"/>
                <w:sz w:val="24"/>
                <w:szCs w:val="24"/>
              </w:rPr>
              <w:t>评价项目</w:t>
            </w:r>
          </w:p>
        </w:tc>
        <w:tc>
          <w:tcPr>
            <w:tcW w:w="3060" w:type="pct"/>
            <w:vAlign w:val="top"/>
          </w:tcPr>
          <w:p w14:paraId="5769AB22">
            <w:pPr>
              <w:pStyle w:val="7"/>
              <w:spacing w:before="114" w:line="218" w:lineRule="auto"/>
              <w:ind w:left="2052"/>
              <w:jc w:val="both"/>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pacing w:val="-2"/>
                <w:sz w:val="24"/>
                <w:szCs w:val="24"/>
              </w:rPr>
              <w:t>评价内容</w:t>
            </w:r>
          </w:p>
        </w:tc>
      </w:tr>
      <w:tr w14:paraId="2781D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trPr>
        <w:tc>
          <w:tcPr>
            <w:tcW w:w="756" w:type="pct"/>
            <w:vMerge w:val="restart"/>
            <w:tcBorders>
              <w:bottom w:val="nil"/>
            </w:tcBorders>
            <w:vAlign w:val="center"/>
          </w:tcPr>
          <w:p w14:paraId="06BD22CD">
            <w:pPr>
              <w:pStyle w:val="7"/>
              <w:spacing w:before="59" w:line="342" w:lineRule="exact"/>
              <w:jc w:val="center"/>
              <w:rPr>
                <w:rFonts w:hint="eastAsia" w:ascii="仿宋_GB2312" w:hAnsi="仿宋_GB2312" w:eastAsia="仿宋_GB2312" w:cs="仿宋_GB2312"/>
                <w:b/>
                <w:bCs/>
                <w:color w:val="auto"/>
                <w:spacing w:val="-2"/>
                <w:position w:val="12"/>
                <w:sz w:val="24"/>
                <w:szCs w:val="24"/>
              </w:rPr>
            </w:pPr>
            <w:r>
              <w:rPr>
                <w:rFonts w:hint="eastAsia" w:ascii="仿宋_GB2312" w:hAnsi="仿宋_GB2312" w:eastAsia="仿宋_GB2312" w:cs="仿宋_GB2312"/>
                <w:b/>
                <w:bCs/>
                <w:color w:val="auto"/>
                <w:spacing w:val="-2"/>
                <w:position w:val="12"/>
                <w:sz w:val="24"/>
                <w:szCs w:val="24"/>
              </w:rPr>
              <w:t>科学性</w:t>
            </w:r>
          </w:p>
          <w:p w14:paraId="2B10A1CB">
            <w:pPr>
              <w:pStyle w:val="7"/>
              <w:spacing w:before="59" w:line="342"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pacing w:val="-5"/>
                <w:sz w:val="24"/>
                <w:szCs w:val="24"/>
              </w:rPr>
              <w:t>30</w:t>
            </w:r>
            <w:r>
              <w:rPr>
                <w:rFonts w:hint="eastAsia" w:ascii="仿宋_GB2312" w:hAnsi="仿宋_GB2312" w:eastAsia="仿宋_GB2312" w:cs="仿宋_GB2312"/>
                <w:color w:val="auto"/>
                <w:spacing w:val="-5"/>
                <w:sz w:val="24"/>
                <w:szCs w:val="24"/>
                <w:lang w:val="en-US" w:eastAsia="zh-CN"/>
              </w:rPr>
              <w:t>分</w:t>
            </w:r>
          </w:p>
        </w:tc>
        <w:tc>
          <w:tcPr>
            <w:tcW w:w="1183" w:type="pct"/>
            <w:vAlign w:val="center"/>
          </w:tcPr>
          <w:p w14:paraId="0330DAB5">
            <w:pPr>
              <w:pStyle w:val="7"/>
              <w:spacing w:before="58" w:line="22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
                <w:sz w:val="24"/>
                <w:szCs w:val="24"/>
              </w:rPr>
              <w:t>知识要素</w:t>
            </w:r>
          </w:p>
        </w:tc>
        <w:tc>
          <w:tcPr>
            <w:tcW w:w="3060" w:type="pct"/>
            <w:vAlign w:val="center"/>
          </w:tcPr>
          <w:p w14:paraId="3991C92E">
            <w:pPr>
              <w:pStyle w:val="7"/>
              <w:spacing w:before="65" w:line="270" w:lineRule="auto"/>
              <w:ind w:left="112" w:right="107" w:hanging="2"/>
              <w:jc w:val="both"/>
              <w:rPr>
                <w:rFonts w:hint="eastAsia"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内容是否具有较多的知识含量，包含某一专业或多个专业的知识要素</w:t>
            </w:r>
          </w:p>
        </w:tc>
      </w:tr>
      <w:tr w14:paraId="623E7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8" w:hRule="atLeast"/>
        </w:trPr>
        <w:tc>
          <w:tcPr>
            <w:tcW w:w="756" w:type="pct"/>
            <w:vMerge w:val="continue"/>
            <w:tcBorders>
              <w:top w:val="nil"/>
            </w:tcBorders>
            <w:vAlign w:val="center"/>
          </w:tcPr>
          <w:p w14:paraId="40F705E1">
            <w:pPr>
              <w:jc w:val="center"/>
              <w:rPr>
                <w:rFonts w:hint="eastAsia" w:ascii="仿宋_GB2312" w:hAnsi="仿宋_GB2312" w:eastAsia="仿宋_GB2312" w:cs="仿宋_GB2312"/>
                <w:color w:val="auto"/>
                <w:sz w:val="24"/>
                <w:szCs w:val="24"/>
              </w:rPr>
            </w:pPr>
          </w:p>
        </w:tc>
        <w:tc>
          <w:tcPr>
            <w:tcW w:w="1183" w:type="pct"/>
            <w:vAlign w:val="center"/>
          </w:tcPr>
          <w:p w14:paraId="56CA4A58">
            <w:pPr>
              <w:pStyle w:val="7"/>
              <w:spacing w:before="58" w:line="22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
                <w:sz w:val="24"/>
                <w:szCs w:val="24"/>
              </w:rPr>
              <w:t>数据资料</w:t>
            </w:r>
          </w:p>
        </w:tc>
        <w:tc>
          <w:tcPr>
            <w:tcW w:w="3060" w:type="pct"/>
            <w:vAlign w:val="center"/>
          </w:tcPr>
          <w:p w14:paraId="204A22FB">
            <w:pPr>
              <w:pStyle w:val="7"/>
              <w:spacing w:before="65" w:line="270" w:lineRule="auto"/>
              <w:ind w:left="112" w:right="107" w:hanging="2"/>
              <w:jc w:val="both"/>
              <w:rPr>
                <w:rFonts w:hint="eastAsia"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数据资料指标评价科普视频内容所含数据资料来源是否明确、可信，数据资料内容是否可查验、是否有证据效力，是否引用新近发表的资料数据，或是否明确说明其数据时效</w:t>
            </w:r>
          </w:p>
        </w:tc>
      </w:tr>
      <w:tr w14:paraId="1CB1A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756" w:type="pct"/>
            <w:vMerge w:val="restart"/>
            <w:tcBorders>
              <w:bottom w:val="nil"/>
            </w:tcBorders>
            <w:vAlign w:val="center"/>
          </w:tcPr>
          <w:p w14:paraId="60F40361">
            <w:pPr>
              <w:pStyle w:val="7"/>
              <w:spacing w:before="58" w:line="343" w:lineRule="exact"/>
              <w:jc w:val="center"/>
              <w:rPr>
                <w:rFonts w:hint="eastAsia" w:ascii="仿宋_GB2312" w:hAnsi="仿宋_GB2312" w:eastAsia="仿宋_GB2312" w:cs="仿宋_GB2312"/>
                <w:b/>
                <w:bCs/>
                <w:color w:val="auto"/>
                <w:spacing w:val="-3"/>
                <w:position w:val="12"/>
                <w:sz w:val="24"/>
                <w:szCs w:val="24"/>
              </w:rPr>
            </w:pPr>
            <w:r>
              <w:rPr>
                <w:rFonts w:hint="eastAsia" w:ascii="仿宋_GB2312" w:hAnsi="仿宋_GB2312" w:eastAsia="仿宋_GB2312" w:cs="仿宋_GB2312"/>
                <w:b/>
                <w:bCs/>
                <w:color w:val="auto"/>
                <w:spacing w:val="-3"/>
                <w:position w:val="12"/>
                <w:sz w:val="24"/>
                <w:szCs w:val="24"/>
              </w:rPr>
              <w:t>大众性</w:t>
            </w:r>
          </w:p>
          <w:p w14:paraId="29A7D636">
            <w:pPr>
              <w:pStyle w:val="7"/>
              <w:spacing w:before="58" w:line="343"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5"/>
                <w:sz w:val="24"/>
                <w:szCs w:val="24"/>
              </w:rPr>
              <w:t>30</w:t>
            </w:r>
            <w:r>
              <w:rPr>
                <w:rFonts w:hint="eastAsia" w:ascii="仿宋_GB2312" w:hAnsi="仿宋_GB2312" w:eastAsia="仿宋_GB2312" w:cs="仿宋_GB2312"/>
                <w:color w:val="auto"/>
                <w:spacing w:val="-5"/>
                <w:sz w:val="24"/>
                <w:szCs w:val="24"/>
                <w:lang w:val="en-US" w:eastAsia="zh-CN"/>
              </w:rPr>
              <w:t>分</w:t>
            </w:r>
          </w:p>
        </w:tc>
        <w:tc>
          <w:tcPr>
            <w:tcW w:w="1183" w:type="pct"/>
            <w:vAlign w:val="center"/>
          </w:tcPr>
          <w:p w14:paraId="230A105C">
            <w:pPr>
              <w:pStyle w:val="7"/>
              <w:spacing w:before="58" w:line="220" w:lineRule="auto"/>
              <w:jc w:val="center"/>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通俗性</w:t>
            </w:r>
          </w:p>
        </w:tc>
        <w:tc>
          <w:tcPr>
            <w:tcW w:w="3060" w:type="pct"/>
            <w:vAlign w:val="center"/>
          </w:tcPr>
          <w:p w14:paraId="0A64191E">
            <w:pPr>
              <w:pStyle w:val="7"/>
              <w:spacing w:before="65" w:line="270" w:lineRule="auto"/>
              <w:ind w:left="112" w:right="107" w:hanging="2"/>
              <w:jc w:val="both"/>
              <w:rPr>
                <w:rFonts w:hint="eastAsia"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通俗性指标评价科普视频语言是否通俗易懂， 是否对影响大众理解的专业术语、行话、缩略语进行了处理（对专业概念进行了解释、类比或标注等）。</w:t>
            </w:r>
          </w:p>
        </w:tc>
      </w:tr>
      <w:tr w14:paraId="14785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56" w:type="pct"/>
            <w:vMerge w:val="continue"/>
            <w:tcBorders>
              <w:top w:val="nil"/>
            </w:tcBorders>
            <w:vAlign w:val="center"/>
          </w:tcPr>
          <w:p w14:paraId="5B7CDA03">
            <w:pPr>
              <w:jc w:val="center"/>
              <w:rPr>
                <w:rFonts w:hint="eastAsia" w:ascii="仿宋_GB2312" w:hAnsi="仿宋_GB2312" w:eastAsia="仿宋_GB2312" w:cs="仿宋_GB2312"/>
                <w:color w:val="auto"/>
                <w:sz w:val="24"/>
                <w:szCs w:val="24"/>
              </w:rPr>
            </w:pPr>
          </w:p>
        </w:tc>
        <w:tc>
          <w:tcPr>
            <w:tcW w:w="1183" w:type="pct"/>
            <w:vAlign w:val="center"/>
          </w:tcPr>
          <w:p w14:paraId="4E3221E1">
            <w:pPr>
              <w:pStyle w:val="7"/>
              <w:spacing w:before="58" w:line="220" w:lineRule="auto"/>
              <w:jc w:val="center"/>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趣味性</w:t>
            </w:r>
          </w:p>
        </w:tc>
        <w:tc>
          <w:tcPr>
            <w:tcW w:w="3060" w:type="pct"/>
            <w:vAlign w:val="center"/>
          </w:tcPr>
          <w:p w14:paraId="0A73AFB6">
            <w:pPr>
              <w:pStyle w:val="7"/>
              <w:spacing w:before="65" w:line="270" w:lineRule="auto"/>
              <w:ind w:left="112" w:right="107" w:hanging="2"/>
              <w:jc w:val="both"/>
              <w:rPr>
                <w:rFonts w:hint="eastAsia" w:ascii="仿宋_GB2312" w:hAnsi="仿宋_GB2312" w:eastAsia="仿宋_GB2312" w:cs="仿宋_GB2312"/>
                <w:color w:val="auto"/>
                <w:spacing w:val="-3"/>
                <w:sz w:val="24"/>
                <w:szCs w:val="24"/>
                <w:lang w:eastAsia="zh-CN"/>
              </w:rPr>
            </w:pPr>
            <w:r>
              <w:rPr>
                <w:rFonts w:hint="eastAsia" w:ascii="仿宋_GB2312" w:hAnsi="仿宋_GB2312" w:eastAsia="仿宋_GB2312" w:cs="仿宋_GB2312"/>
                <w:color w:val="auto"/>
                <w:spacing w:val="-3"/>
                <w:sz w:val="24"/>
                <w:szCs w:val="24"/>
              </w:rPr>
              <w:t>趣味性指标评价科普视频是否寓教于乐，趣味性强，受众喜闻乐见。</w:t>
            </w:r>
          </w:p>
        </w:tc>
      </w:tr>
      <w:tr w14:paraId="15F64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56" w:type="pct"/>
            <w:vMerge w:val="restart"/>
            <w:tcBorders>
              <w:bottom w:val="nil"/>
            </w:tcBorders>
            <w:vAlign w:val="center"/>
          </w:tcPr>
          <w:p w14:paraId="6E447880">
            <w:pPr>
              <w:pStyle w:val="7"/>
              <w:spacing w:before="59" w:line="341" w:lineRule="exact"/>
              <w:jc w:val="center"/>
              <w:rPr>
                <w:rFonts w:hint="eastAsia" w:ascii="仿宋_GB2312" w:hAnsi="仿宋_GB2312" w:eastAsia="仿宋_GB2312" w:cs="仿宋_GB2312"/>
                <w:b/>
                <w:bCs/>
                <w:color w:val="auto"/>
                <w:spacing w:val="-3"/>
                <w:position w:val="12"/>
                <w:sz w:val="24"/>
                <w:szCs w:val="24"/>
              </w:rPr>
            </w:pPr>
            <w:r>
              <w:rPr>
                <w:rFonts w:hint="eastAsia" w:ascii="仿宋_GB2312" w:hAnsi="仿宋_GB2312" w:eastAsia="仿宋_GB2312" w:cs="仿宋_GB2312"/>
                <w:b/>
                <w:bCs/>
                <w:color w:val="auto"/>
                <w:spacing w:val="-3"/>
                <w:position w:val="12"/>
                <w:sz w:val="24"/>
                <w:szCs w:val="24"/>
              </w:rPr>
              <w:t>艺术性</w:t>
            </w:r>
          </w:p>
          <w:p w14:paraId="6DC34A6E">
            <w:pPr>
              <w:pStyle w:val="7"/>
              <w:spacing w:before="59" w:line="341"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0"/>
                <w:sz w:val="24"/>
                <w:szCs w:val="24"/>
              </w:rPr>
              <w:t>10</w:t>
            </w:r>
            <w:r>
              <w:rPr>
                <w:rFonts w:hint="eastAsia" w:ascii="仿宋_GB2312" w:hAnsi="仿宋_GB2312" w:eastAsia="仿宋_GB2312" w:cs="仿宋_GB2312"/>
                <w:color w:val="auto"/>
                <w:spacing w:val="-5"/>
                <w:sz w:val="24"/>
                <w:szCs w:val="24"/>
                <w:lang w:val="en-US" w:eastAsia="zh-CN"/>
              </w:rPr>
              <w:t>分</w:t>
            </w:r>
          </w:p>
        </w:tc>
        <w:tc>
          <w:tcPr>
            <w:tcW w:w="1183" w:type="pct"/>
            <w:vAlign w:val="center"/>
          </w:tcPr>
          <w:p w14:paraId="4BE3570C">
            <w:pPr>
              <w:pStyle w:val="7"/>
              <w:spacing w:before="58" w:line="220" w:lineRule="auto"/>
              <w:jc w:val="center"/>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表现手法</w:t>
            </w:r>
          </w:p>
        </w:tc>
        <w:tc>
          <w:tcPr>
            <w:tcW w:w="3060" w:type="pct"/>
            <w:vAlign w:val="center"/>
          </w:tcPr>
          <w:p w14:paraId="40A5C6CA">
            <w:pPr>
              <w:pStyle w:val="7"/>
              <w:spacing w:before="65" w:line="270" w:lineRule="auto"/>
              <w:ind w:left="112" w:right="107" w:hanging="2"/>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3"/>
                <w:sz w:val="24"/>
                <w:szCs w:val="24"/>
              </w:rPr>
              <w:t>表现手法指标评价科普视频是否使用了叙事设</w:t>
            </w:r>
            <w:r>
              <w:rPr>
                <w:rFonts w:hint="eastAsia" w:ascii="仿宋_GB2312" w:hAnsi="仿宋_GB2312" w:eastAsia="仿宋_GB2312" w:cs="仿宋_GB2312"/>
                <w:color w:val="auto"/>
                <w:spacing w:val="-4"/>
                <w:sz w:val="24"/>
                <w:szCs w:val="24"/>
              </w:rPr>
              <w:t>计、视觉设计</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pacing w:val="-5"/>
                <w:sz w:val="24"/>
                <w:szCs w:val="24"/>
              </w:rPr>
              <w:t>等表现手法。</w:t>
            </w:r>
          </w:p>
        </w:tc>
      </w:tr>
      <w:tr w14:paraId="21962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56" w:type="pct"/>
            <w:vMerge w:val="continue"/>
            <w:tcBorders>
              <w:top w:val="nil"/>
            </w:tcBorders>
            <w:vAlign w:val="center"/>
          </w:tcPr>
          <w:p w14:paraId="6B95114A">
            <w:pPr>
              <w:jc w:val="center"/>
              <w:rPr>
                <w:rFonts w:hint="eastAsia" w:ascii="仿宋_GB2312" w:hAnsi="仿宋_GB2312" w:eastAsia="仿宋_GB2312" w:cs="仿宋_GB2312"/>
                <w:color w:val="auto"/>
                <w:sz w:val="24"/>
                <w:szCs w:val="24"/>
              </w:rPr>
            </w:pPr>
          </w:p>
        </w:tc>
        <w:tc>
          <w:tcPr>
            <w:tcW w:w="1183" w:type="pct"/>
            <w:vAlign w:val="center"/>
          </w:tcPr>
          <w:p w14:paraId="04E520D5">
            <w:pPr>
              <w:pStyle w:val="7"/>
              <w:spacing w:before="58" w:line="220" w:lineRule="auto"/>
              <w:jc w:val="center"/>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艺术审美</w:t>
            </w:r>
          </w:p>
        </w:tc>
        <w:tc>
          <w:tcPr>
            <w:tcW w:w="3060" w:type="pct"/>
            <w:vAlign w:val="center"/>
          </w:tcPr>
          <w:p w14:paraId="3236C3FE">
            <w:pPr>
              <w:pStyle w:val="7"/>
              <w:spacing w:before="70" w:line="269" w:lineRule="auto"/>
              <w:ind w:left="111" w:right="107" w:firstLine="3"/>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6"/>
                <w:sz w:val="24"/>
                <w:szCs w:val="24"/>
              </w:rPr>
              <w:t>艺术审美指标评价科普视频是否注重形式与内容相协调，画</w:t>
            </w:r>
            <w:r>
              <w:rPr>
                <w:rFonts w:hint="eastAsia" w:ascii="仿宋_GB2312" w:hAnsi="仿宋_GB2312" w:eastAsia="仿宋_GB2312" w:cs="仿宋_GB2312"/>
                <w:color w:val="auto"/>
                <w:spacing w:val="-1"/>
                <w:sz w:val="24"/>
                <w:szCs w:val="24"/>
              </w:rPr>
              <w:t>面布局、色彩生动美观，画面视听元素运用恰当。</w:t>
            </w:r>
          </w:p>
        </w:tc>
      </w:tr>
      <w:tr w14:paraId="308AA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56" w:type="pct"/>
            <w:vMerge w:val="restart"/>
            <w:tcBorders>
              <w:bottom w:val="nil"/>
            </w:tcBorders>
            <w:vAlign w:val="center"/>
          </w:tcPr>
          <w:p w14:paraId="02F53F6A">
            <w:pPr>
              <w:pStyle w:val="7"/>
              <w:spacing w:before="58" w:line="342" w:lineRule="exact"/>
              <w:jc w:val="center"/>
              <w:rPr>
                <w:rFonts w:hint="eastAsia" w:ascii="仿宋_GB2312" w:hAnsi="仿宋_GB2312" w:eastAsia="仿宋_GB2312" w:cs="仿宋_GB2312"/>
                <w:b/>
                <w:bCs/>
                <w:color w:val="auto"/>
                <w:spacing w:val="-2"/>
                <w:position w:val="12"/>
                <w:sz w:val="24"/>
                <w:szCs w:val="24"/>
              </w:rPr>
            </w:pPr>
          </w:p>
          <w:p w14:paraId="48FE5E3E">
            <w:pPr>
              <w:pStyle w:val="7"/>
              <w:spacing w:before="58" w:line="342" w:lineRule="exact"/>
              <w:jc w:val="center"/>
              <w:rPr>
                <w:rFonts w:hint="eastAsia" w:ascii="仿宋_GB2312" w:hAnsi="仿宋_GB2312" w:eastAsia="仿宋_GB2312" w:cs="仿宋_GB2312"/>
                <w:b/>
                <w:bCs/>
                <w:color w:val="auto"/>
                <w:spacing w:val="-2"/>
                <w:position w:val="12"/>
                <w:sz w:val="24"/>
                <w:szCs w:val="24"/>
              </w:rPr>
            </w:pPr>
          </w:p>
          <w:p w14:paraId="265043A3">
            <w:pPr>
              <w:pStyle w:val="7"/>
              <w:spacing w:before="58" w:line="342" w:lineRule="exact"/>
              <w:jc w:val="center"/>
              <w:rPr>
                <w:rFonts w:hint="eastAsia" w:ascii="仿宋_GB2312" w:hAnsi="仿宋_GB2312" w:eastAsia="仿宋_GB2312" w:cs="仿宋_GB2312"/>
                <w:b/>
                <w:bCs/>
                <w:color w:val="auto"/>
                <w:spacing w:val="-2"/>
                <w:position w:val="12"/>
                <w:sz w:val="24"/>
                <w:szCs w:val="24"/>
              </w:rPr>
            </w:pPr>
          </w:p>
          <w:p w14:paraId="33B09CE8">
            <w:pPr>
              <w:pStyle w:val="7"/>
              <w:spacing w:before="58" w:line="342" w:lineRule="exact"/>
              <w:jc w:val="center"/>
              <w:rPr>
                <w:rFonts w:hint="eastAsia" w:ascii="仿宋_GB2312" w:hAnsi="仿宋_GB2312" w:eastAsia="仿宋_GB2312" w:cs="仿宋_GB2312"/>
                <w:b/>
                <w:bCs/>
                <w:color w:val="auto"/>
                <w:spacing w:val="-2"/>
                <w:position w:val="12"/>
                <w:sz w:val="24"/>
                <w:szCs w:val="24"/>
              </w:rPr>
            </w:pPr>
          </w:p>
          <w:p w14:paraId="2D9B1173">
            <w:pPr>
              <w:pStyle w:val="7"/>
              <w:spacing w:before="58" w:line="342" w:lineRule="exact"/>
              <w:jc w:val="center"/>
              <w:rPr>
                <w:rFonts w:hint="eastAsia" w:ascii="仿宋_GB2312" w:hAnsi="仿宋_GB2312" w:eastAsia="仿宋_GB2312" w:cs="仿宋_GB2312"/>
                <w:b/>
                <w:bCs/>
                <w:color w:val="auto"/>
                <w:spacing w:val="-2"/>
                <w:position w:val="12"/>
                <w:sz w:val="24"/>
                <w:szCs w:val="24"/>
              </w:rPr>
            </w:pPr>
          </w:p>
          <w:p w14:paraId="146DB9CD">
            <w:pPr>
              <w:pStyle w:val="7"/>
              <w:spacing w:before="58" w:line="342" w:lineRule="exact"/>
              <w:jc w:val="center"/>
              <w:rPr>
                <w:rFonts w:hint="eastAsia" w:ascii="仿宋_GB2312" w:hAnsi="仿宋_GB2312" w:eastAsia="仿宋_GB2312" w:cs="仿宋_GB2312"/>
                <w:b/>
                <w:bCs/>
                <w:color w:val="auto"/>
                <w:spacing w:val="-2"/>
                <w:position w:val="12"/>
                <w:sz w:val="24"/>
                <w:szCs w:val="24"/>
              </w:rPr>
            </w:pPr>
            <w:r>
              <w:rPr>
                <w:rFonts w:hint="eastAsia" w:ascii="仿宋_GB2312" w:hAnsi="仿宋_GB2312" w:eastAsia="仿宋_GB2312" w:cs="仿宋_GB2312"/>
                <w:b/>
                <w:bCs/>
                <w:color w:val="auto"/>
                <w:spacing w:val="-2"/>
                <w:position w:val="12"/>
                <w:sz w:val="24"/>
                <w:szCs w:val="24"/>
              </w:rPr>
              <w:t>技术性</w:t>
            </w:r>
          </w:p>
          <w:p w14:paraId="35BF1252">
            <w:pPr>
              <w:pStyle w:val="7"/>
              <w:spacing w:before="58" w:line="342"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0"/>
                <w:sz w:val="24"/>
                <w:szCs w:val="24"/>
              </w:rPr>
              <w:t>10</w:t>
            </w:r>
            <w:r>
              <w:rPr>
                <w:rFonts w:hint="eastAsia" w:ascii="仿宋_GB2312" w:hAnsi="仿宋_GB2312" w:eastAsia="仿宋_GB2312" w:cs="仿宋_GB2312"/>
                <w:color w:val="auto"/>
                <w:spacing w:val="-5"/>
                <w:sz w:val="24"/>
                <w:szCs w:val="24"/>
                <w:lang w:val="en-US" w:eastAsia="zh-CN"/>
              </w:rPr>
              <w:t>分</w:t>
            </w:r>
          </w:p>
        </w:tc>
        <w:tc>
          <w:tcPr>
            <w:tcW w:w="1183" w:type="pct"/>
            <w:vAlign w:val="center"/>
          </w:tcPr>
          <w:p w14:paraId="34DF47BB">
            <w:pPr>
              <w:pStyle w:val="7"/>
              <w:spacing w:before="58" w:line="220" w:lineRule="auto"/>
              <w:jc w:val="center"/>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拍摄水平</w:t>
            </w:r>
          </w:p>
        </w:tc>
        <w:tc>
          <w:tcPr>
            <w:tcW w:w="3060" w:type="pct"/>
            <w:vAlign w:val="center"/>
          </w:tcPr>
          <w:p w14:paraId="2403775C">
            <w:pPr>
              <w:pStyle w:val="7"/>
              <w:spacing w:before="65" w:line="270" w:lineRule="auto"/>
              <w:ind w:left="112" w:right="107" w:hanging="2"/>
              <w:jc w:val="both"/>
              <w:rPr>
                <w:rFonts w:hint="eastAsia"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拍摄水平指标评价科普视频摄影构图、镜头及灯光等运用是否恰当。</w:t>
            </w:r>
          </w:p>
        </w:tc>
      </w:tr>
      <w:tr w14:paraId="7BCDC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56" w:type="pct"/>
            <w:vMerge w:val="continue"/>
            <w:tcBorders>
              <w:top w:val="nil"/>
              <w:bottom w:val="nil"/>
            </w:tcBorders>
            <w:vAlign w:val="center"/>
          </w:tcPr>
          <w:p w14:paraId="6698129F">
            <w:pPr>
              <w:jc w:val="center"/>
              <w:rPr>
                <w:rFonts w:hint="eastAsia" w:ascii="仿宋_GB2312" w:hAnsi="仿宋_GB2312" w:eastAsia="仿宋_GB2312" w:cs="仿宋_GB2312"/>
                <w:color w:val="auto"/>
                <w:sz w:val="24"/>
                <w:szCs w:val="24"/>
              </w:rPr>
            </w:pPr>
          </w:p>
        </w:tc>
        <w:tc>
          <w:tcPr>
            <w:tcW w:w="1183" w:type="pct"/>
            <w:vAlign w:val="center"/>
          </w:tcPr>
          <w:p w14:paraId="057B0B57">
            <w:pPr>
              <w:pStyle w:val="7"/>
              <w:spacing w:before="58" w:line="220" w:lineRule="auto"/>
              <w:jc w:val="center"/>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文案质量</w:t>
            </w:r>
          </w:p>
        </w:tc>
        <w:tc>
          <w:tcPr>
            <w:tcW w:w="3060" w:type="pct"/>
            <w:vAlign w:val="center"/>
          </w:tcPr>
          <w:p w14:paraId="44559835">
            <w:pPr>
              <w:pStyle w:val="7"/>
              <w:spacing w:before="65" w:line="270" w:lineRule="auto"/>
              <w:ind w:left="112" w:right="107" w:hanging="2"/>
              <w:jc w:val="both"/>
              <w:rPr>
                <w:rFonts w:hint="eastAsia"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科普视频的文案质量指标是评估文案准确性、简洁明了性、逻辑清晰性、吸引力、信息深度、观众导向、情感共鸣、社会影响和语言表达等维度。</w:t>
            </w:r>
          </w:p>
        </w:tc>
      </w:tr>
      <w:tr w14:paraId="2C9ED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9" w:hRule="atLeast"/>
        </w:trPr>
        <w:tc>
          <w:tcPr>
            <w:tcW w:w="756" w:type="pct"/>
            <w:vMerge w:val="continue"/>
            <w:tcBorders>
              <w:top w:val="nil"/>
              <w:bottom w:val="nil"/>
            </w:tcBorders>
            <w:vAlign w:val="center"/>
          </w:tcPr>
          <w:p w14:paraId="4D6C45D0">
            <w:pPr>
              <w:jc w:val="center"/>
              <w:rPr>
                <w:rFonts w:hint="eastAsia" w:ascii="仿宋_GB2312" w:hAnsi="仿宋_GB2312" w:eastAsia="仿宋_GB2312" w:cs="仿宋_GB2312"/>
                <w:color w:val="auto"/>
                <w:sz w:val="24"/>
                <w:szCs w:val="24"/>
              </w:rPr>
            </w:pPr>
          </w:p>
        </w:tc>
        <w:tc>
          <w:tcPr>
            <w:tcW w:w="1183" w:type="pct"/>
            <w:vAlign w:val="center"/>
          </w:tcPr>
          <w:p w14:paraId="0A3EEFA5">
            <w:pPr>
              <w:pStyle w:val="7"/>
              <w:spacing w:before="58" w:line="220" w:lineRule="auto"/>
              <w:jc w:val="center"/>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图像采集水平</w:t>
            </w:r>
          </w:p>
        </w:tc>
        <w:tc>
          <w:tcPr>
            <w:tcW w:w="3060" w:type="pct"/>
            <w:vAlign w:val="center"/>
          </w:tcPr>
          <w:p w14:paraId="6EEBED7D">
            <w:pPr>
              <w:pStyle w:val="7"/>
              <w:spacing w:before="65" w:line="270" w:lineRule="auto"/>
              <w:ind w:left="112" w:right="107" w:hanging="2"/>
              <w:jc w:val="both"/>
              <w:rPr>
                <w:rFonts w:hint="eastAsia"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图像的采集制作水平指标是用来评估科普视频中图像采集和后期制作质量的一组衡量标准，包括图像清晰度、信息呈现准确性、视觉吸引力、与文案的协调性、视觉呈现效果和画面合成等要素。</w:t>
            </w:r>
          </w:p>
        </w:tc>
      </w:tr>
      <w:tr w14:paraId="09A70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56" w:type="pct"/>
            <w:vMerge w:val="continue"/>
            <w:tcBorders>
              <w:top w:val="nil"/>
              <w:bottom w:val="nil"/>
            </w:tcBorders>
            <w:vAlign w:val="center"/>
          </w:tcPr>
          <w:p w14:paraId="305EE372">
            <w:pPr>
              <w:jc w:val="center"/>
              <w:rPr>
                <w:rFonts w:hint="eastAsia" w:ascii="仿宋_GB2312" w:hAnsi="仿宋_GB2312" w:eastAsia="仿宋_GB2312" w:cs="仿宋_GB2312"/>
                <w:color w:val="auto"/>
                <w:sz w:val="24"/>
                <w:szCs w:val="24"/>
              </w:rPr>
            </w:pPr>
          </w:p>
        </w:tc>
        <w:tc>
          <w:tcPr>
            <w:tcW w:w="1183" w:type="pct"/>
            <w:vAlign w:val="center"/>
          </w:tcPr>
          <w:p w14:paraId="7063AE73">
            <w:pPr>
              <w:pStyle w:val="7"/>
              <w:spacing w:before="58" w:line="220" w:lineRule="auto"/>
              <w:jc w:val="center"/>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音频及字幕呈现</w:t>
            </w:r>
          </w:p>
        </w:tc>
        <w:tc>
          <w:tcPr>
            <w:tcW w:w="3060" w:type="pct"/>
            <w:vAlign w:val="center"/>
          </w:tcPr>
          <w:p w14:paraId="7B686152">
            <w:pPr>
              <w:pStyle w:val="7"/>
              <w:spacing w:before="65" w:line="270" w:lineRule="auto"/>
              <w:ind w:left="112" w:right="107" w:hanging="2"/>
              <w:jc w:val="both"/>
              <w:rPr>
                <w:rFonts w:hint="eastAsia"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语言文字规范指标评价科普视频语言表述是否准确、规范，网络语言、方言和外国语言文字的显示和发音是否恰当，配音（包括人工智能配音）是否流畅，不存在卡顿和歧义。</w:t>
            </w:r>
          </w:p>
        </w:tc>
      </w:tr>
      <w:tr w14:paraId="4B218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56" w:type="pct"/>
            <w:vMerge w:val="continue"/>
            <w:tcBorders>
              <w:top w:val="nil"/>
            </w:tcBorders>
            <w:vAlign w:val="center"/>
          </w:tcPr>
          <w:p w14:paraId="2405DA68">
            <w:pPr>
              <w:jc w:val="center"/>
              <w:rPr>
                <w:rFonts w:hint="eastAsia" w:ascii="仿宋_GB2312" w:hAnsi="仿宋_GB2312" w:eastAsia="仿宋_GB2312" w:cs="仿宋_GB2312"/>
                <w:color w:val="auto"/>
                <w:sz w:val="24"/>
                <w:szCs w:val="24"/>
              </w:rPr>
            </w:pPr>
          </w:p>
        </w:tc>
        <w:tc>
          <w:tcPr>
            <w:tcW w:w="1183" w:type="pct"/>
            <w:vAlign w:val="center"/>
          </w:tcPr>
          <w:p w14:paraId="5317BB5F">
            <w:pPr>
              <w:pStyle w:val="7"/>
              <w:spacing w:before="58" w:line="220" w:lineRule="auto"/>
              <w:jc w:val="center"/>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技术先进性</w:t>
            </w:r>
          </w:p>
        </w:tc>
        <w:tc>
          <w:tcPr>
            <w:tcW w:w="3060" w:type="pct"/>
            <w:vAlign w:val="center"/>
          </w:tcPr>
          <w:p w14:paraId="69FF9F68">
            <w:pPr>
              <w:pStyle w:val="7"/>
              <w:spacing w:before="65" w:line="270" w:lineRule="auto"/>
              <w:ind w:left="112" w:right="107" w:hanging="2"/>
              <w:jc w:val="both"/>
              <w:rPr>
                <w:rFonts w:hint="eastAsia"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技术先进性指标评价科普视频是否使用了当下新兴的影像技术和媒介技术，（如虚拟现实、人工智能、交互视频以及高清晰影像等技术）以丰富视频的表现力和感染力。</w:t>
            </w:r>
          </w:p>
        </w:tc>
      </w:tr>
      <w:tr w14:paraId="62322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56" w:type="pct"/>
            <w:vMerge w:val="restart"/>
            <w:tcBorders>
              <w:bottom w:val="nil"/>
            </w:tcBorders>
            <w:vAlign w:val="center"/>
          </w:tcPr>
          <w:p w14:paraId="7B024A27">
            <w:pPr>
              <w:pStyle w:val="7"/>
              <w:spacing w:line="181" w:lineRule="auto"/>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规范性</w:t>
            </w:r>
          </w:p>
          <w:p w14:paraId="566A4D3D">
            <w:pPr>
              <w:pStyle w:val="7"/>
              <w:spacing w:line="181"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w:t>
            </w:r>
            <w:r>
              <w:rPr>
                <w:rFonts w:hint="eastAsia" w:ascii="仿宋_GB2312" w:hAnsi="仿宋_GB2312" w:eastAsia="仿宋_GB2312" w:cs="仿宋_GB2312"/>
                <w:color w:val="auto"/>
                <w:spacing w:val="-5"/>
                <w:sz w:val="24"/>
                <w:szCs w:val="24"/>
                <w:lang w:val="en-US" w:eastAsia="zh-CN"/>
              </w:rPr>
              <w:t>分</w:t>
            </w:r>
          </w:p>
        </w:tc>
        <w:tc>
          <w:tcPr>
            <w:tcW w:w="1183" w:type="pct"/>
            <w:vAlign w:val="center"/>
          </w:tcPr>
          <w:p w14:paraId="3E0C5C30">
            <w:pPr>
              <w:pStyle w:val="7"/>
              <w:spacing w:before="58" w:line="220" w:lineRule="auto"/>
              <w:jc w:val="center"/>
              <w:rPr>
                <w:rFonts w:hint="eastAsia" w:ascii="仿宋_GB2312" w:hAnsi="仿宋_GB2312" w:eastAsia="仿宋_GB2312" w:cs="仿宋_GB2312"/>
                <w:color w:val="auto"/>
                <w:spacing w:val="-2"/>
                <w:sz w:val="24"/>
                <w:szCs w:val="24"/>
                <w:lang w:val="en-US" w:eastAsia="en-US"/>
              </w:rPr>
            </w:pPr>
            <w:r>
              <w:rPr>
                <w:rFonts w:hint="eastAsia" w:ascii="仿宋_GB2312" w:hAnsi="仿宋_GB2312" w:eastAsia="仿宋_GB2312" w:cs="仿宋_GB2312"/>
                <w:color w:val="auto"/>
                <w:spacing w:val="-2"/>
                <w:sz w:val="24"/>
                <w:szCs w:val="24"/>
                <w:lang w:val="en-US" w:eastAsia="en-US"/>
              </w:rPr>
              <w:t>内容要求</w:t>
            </w:r>
          </w:p>
        </w:tc>
        <w:tc>
          <w:tcPr>
            <w:tcW w:w="3060" w:type="pct"/>
            <w:vAlign w:val="center"/>
          </w:tcPr>
          <w:p w14:paraId="70B81AEB">
            <w:pPr>
              <w:pStyle w:val="7"/>
              <w:spacing w:before="65" w:line="270" w:lineRule="auto"/>
              <w:ind w:left="112" w:right="107" w:hanging="2"/>
              <w:jc w:val="both"/>
              <w:rPr>
                <w:rFonts w:hint="eastAsia" w:ascii="仿宋_GB2312" w:hAnsi="仿宋_GB2312" w:eastAsia="仿宋_GB2312" w:cs="仿宋_GB2312"/>
                <w:color w:val="auto"/>
                <w:spacing w:val="-3"/>
                <w:sz w:val="24"/>
                <w:szCs w:val="24"/>
                <w:lang w:val="en-US" w:eastAsia="en-US"/>
              </w:rPr>
            </w:pPr>
            <w:r>
              <w:rPr>
                <w:rFonts w:hint="eastAsia" w:ascii="仿宋_GB2312" w:hAnsi="仿宋_GB2312" w:eastAsia="仿宋_GB2312" w:cs="仿宋_GB2312"/>
                <w:color w:val="auto"/>
                <w:spacing w:val="-3"/>
                <w:sz w:val="24"/>
                <w:szCs w:val="24"/>
                <w:lang w:val="en-US" w:eastAsia="en-US"/>
              </w:rPr>
              <w:t>1)参赛作品要主题鲜明</w:t>
            </w:r>
            <w:r>
              <w:rPr>
                <w:rFonts w:hint="eastAsia" w:ascii="仿宋_GB2312" w:hAnsi="仿宋_GB2312" w:eastAsia="仿宋_GB2312" w:cs="仿宋_GB2312"/>
                <w:color w:val="auto"/>
                <w:spacing w:val="-3"/>
                <w:sz w:val="24"/>
                <w:szCs w:val="24"/>
                <w:lang w:val="en-US" w:eastAsia="zh-CN"/>
              </w:rPr>
              <w:t>，</w:t>
            </w:r>
            <w:r>
              <w:rPr>
                <w:rFonts w:hint="eastAsia" w:ascii="仿宋_GB2312" w:hAnsi="仿宋_GB2312" w:eastAsia="仿宋_GB2312" w:cs="仿宋_GB2312"/>
                <w:color w:val="auto"/>
                <w:spacing w:val="-3"/>
                <w:sz w:val="24"/>
                <w:szCs w:val="24"/>
                <w:lang w:val="en-US" w:eastAsia="en-US"/>
              </w:rPr>
              <w:t>积极普及科学知识、弘扬科学精神、传播科学思想、倡导科学方法</w:t>
            </w:r>
            <w:r>
              <w:rPr>
                <w:rFonts w:hint="eastAsia" w:ascii="仿宋_GB2312" w:hAnsi="仿宋_GB2312" w:eastAsia="仿宋_GB2312" w:cs="仿宋_GB2312"/>
                <w:color w:val="auto"/>
                <w:spacing w:val="-3"/>
                <w:sz w:val="24"/>
                <w:szCs w:val="24"/>
                <w:lang w:val="en-US" w:eastAsia="zh-CN"/>
              </w:rPr>
              <w:t>，</w:t>
            </w:r>
            <w:r>
              <w:rPr>
                <w:rFonts w:hint="eastAsia" w:ascii="仿宋_GB2312" w:hAnsi="仿宋_GB2312" w:eastAsia="仿宋_GB2312" w:cs="仿宋_GB2312"/>
                <w:color w:val="auto"/>
                <w:spacing w:val="-3"/>
                <w:sz w:val="24"/>
                <w:szCs w:val="24"/>
                <w:lang w:val="en-US" w:eastAsia="en-US"/>
              </w:rPr>
              <w:t>不涉及商业宣传。参赛作品须符合社会主义核心价值观要求</w:t>
            </w:r>
            <w:r>
              <w:rPr>
                <w:rFonts w:hint="eastAsia" w:ascii="仿宋_GB2312" w:hAnsi="仿宋_GB2312" w:eastAsia="仿宋_GB2312" w:cs="仿宋_GB2312"/>
                <w:color w:val="auto"/>
                <w:spacing w:val="-3"/>
                <w:sz w:val="24"/>
                <w:szCs w:val="24"/>
                <w:lang w:val="en-US" w:eastAsia="zh-CN"/>
              </w:rPr>
              <w:t>，</w:t>
            </w:r>
            <w:r>
              <w:rPr>
                <w:rFonts w:hint="eastAsia" w:ascii="仿宋_GB2312" w:hAnsi="仿宋_GB2312" w:eastAsia="仿宋_GB2312" w:cs="仿宋_GB2312"/>
                <w:color w:val="auto"/>
                <w:spacing w:val="-3"/>
                <w:sz w:val="24"/>
                <w:szCs w:val="24"/>
                <w:lang w:val="en-US" w:eastAsia="en-US"/>
              </w:rPr>
              <w:t>不涉及色情、暴力、种族歧视、性别歧视、保密等内容</w:t>
            </w:r>
            <w:r>
              <w:rPr>
                <w:rFonts w:hint="eastAsia" w:ascii="仿宋_GB2312" w:hAnsi="仿宋_GB2312" w:eastAsia="仿宋_GB2312" w:cs="仿宋_GB2312"/>
                <w:color w:val="auto"/>
                <w:spacing w:val="-3"/>
                <w:sz w:val="24"/>
                <w:szCs w:val="24"/>
                <w:lang w:val="en-US" w:eastAsia="zh-CN"/>
              </w:rPr>
              <w:t>，</w:t>
            </w:r>
            <w:r>
              <w:rPr>
                <w:rFonts w:hint="eastAsia" w:ascii="仿宋_GB2312" w:hAnsi="仿宋_GB2312" w:eastAsia="仿宋_GB2312" w:cs="仿宋_GB2312"/>
                <w:color w:val="auto"/>
                <w:spacing w:val="-3"/>
                <w:sz w:val="24"/>
                <w:szCs w:val="24"/>
                <w:lang w:val="en-US" w:eastAsia="en-US"/>
              </w:rPr>
              <w:t>不得与中华人民共和国法律、法规相抵触。</w:t>
            </w:r>
          </w:p>
          <w:p w14:paraId="2E2B1771">
            <w:pPr>
              <w:pStyle w:val="7"/>
              <w:spacing w:before="65" w:line="270" w:lineRule="auto"/>
              <w:ind w:left="112" w:right="107" w:hanging="2"/>
              <w:jc w:val="both"/>
              <w:rPr>
                <w:rFonts w:hint="eastAsia" w:ascii="仿宋_GB2312" w:hAnsi="仿宋_GB2312" w:eastAsia="仿宋_GB2312" w:cs="仿宋_GB2312"/>
                <w:color w:val="auto"/>
                <w:spacing w:val="-3"/>
                <w:sz w:val="24"/>
                <w:szCs w:val="24"/>
                <w:lang w:val="en-US" w:eastAsia="en-US"/>
              </w:rPr>
            </w:pPr>
            <w:r>
              <w:rPr>
                <w:rFonts w:hint="eastAsia" w:ascii="仿宋_GB2312" w:hAnsi="仿宋_GB2312" w:eastAsia="仿宋_GB2312" w:cs="仿宋_GB2312"/>
                <w:color w:val="auto"/>
                <w:spacing w:val="-3"/>
                <w:sz w:val="24"/>
                <w:szCs w:val="24"/>
                <w:lang w:val="en-US" w:eastAsia="en-US"/>
              </w:rPr>
              <w:t>2)参赛作品要围绕医学卫生、应急避险、农业科学、食品安全、生态环境、科学教育等领域的科普知识进行创作。</w:t>
            </w:r>
          </w:p>
          <w:p w14:paraId="620214E3">
            <w:pPr>
              <w:pStyle w:val="7"/>
              <w:spacing w:before="65" w:line="270" w:lineRule="auto"/>
              <w:ind w:left="112" w:right="107" w:hanging="2"/>
              <w:jc w:val="both"/>
              <w:rPr>
                <w:rFonts w:hint="eastAsia" w:ascii="仿宋_GB2312" w:hAnsi="仿宋_GB2312" w:eastAsia="仿宋_GB2312" w:cs="仿宋_GB2312"/>
                <w:color w:val="auto"/>
                <w:spacing w:val="-3"/>
                <w:sz w:val="24"/>
                <w:szCs w:val="24"/>
                <w:lang w:val="en-US" w:eastAsia="en-US"/>
              </w:rPr>
            </w:pPr>
            <w:r>
              <w:rPr>
                <w:rFonts w:hint="eastAsia" w:ascii="仿宋_GB2312" w:hAnsi="仿宋_GB2312" w:eastAsia="仿宋_GB2312" w:cs="仿宋_GB2312"/>
                <w:color w:val="auto"/>
                <w:spacing w:val="-3"/>
                <w:sz w:val="24"/>
                <w:szCs w:val="24"/>
                <w:lang w:val="en-US" w:eastAsia="en-US"/>
              </w:rPr>
              <w:t>3)作品中的文字语言应为简体中文</w:t>
            </w:r>
            <w:r>
              <w:rPr>
                <w:rFonts w:hint="eastAsia" w:ascii="仿宋_GB2312" w:hAnsi="仿宋_GB2312" w:eastAsia="仿宋_GB2312" w:cs="仿宋_GB2312"/>
                <w:color w:val="auto"/>
                <w:spacing w:val="-3"/>
                <w:sz w:val="24"/>
                <w:szCs w:val="24"/>
                <w:lang w:val="en-US" w:eastAsia="zh-CN"/>
              </w:rPr>
              <w:t>，</w:t>
            </w:r>
            <w:r>
              <w:rPr>
                <w:rFonts w:hint="eastAsia" w:ascii="仿宋_GB2312" w:hAnsi="仿宋_GB2312" w:eastAsia="仿宋_GB2312" w:cs="仿宋_GB2312"/>
                <w:color w:val="auto"/>
                <w:spacing w:val="-3"/>
                <w:sz w:val="24"/>
                <w:szCs w:val="24"/>
                <w:lang w:val="en-US" w:eastAsia="en-US"/>
              </w:rPr>
              <w:t>配音和解说使用普通话。</w:t>
            </w:r>
          </w:p>
        </w:tc>
      </w:tr>
      <w:tr w14:paraId="129DC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2" w:hRule="atLeast"/>
        </w:trPr>
        <w:tc>
          <w:tcPr>
            <w:tcW w:w="756" w:type="pct"/>
            <w:vMerge w:val="continue"/>
            <w:tcBorders>
              <w:top w:val="nil"/>
              <w:bottom w:val="nil"/>
            </w:tcBorders>
            <w:vAlign w:val="center"/>
          </w:tcPr>
          <w:p w14:paraId="5FC8711C">
            <w:pPr>
              <w:jc w:val="center"/>
              <w:rPr>
                <w:rFonts w:hint="eastAsia" w:ascii="仿宋_GB2312" w:hAnsi="仿宋_GB2312" w:eastAsia="仿宋_GB2312" w:cs="仿宋_GB2312"/>
                <w:color w:val="auto"/>
                <w:sz w:val="21"/>
              </w:rPr>
            </w:pPr>
          </w:p>
        </w:tc>
        <w:tc>
          <w:tcPr>
            <w:tcW w:w="1183" w:type="pct"/>
            <w:vAlign w:val="center"/>
          </w:tcPr>
          <w:p w14:paraId="370BBE79">
            <w:pPr>
              <w:pStyle w:val="7"/>
              <w:spacing w:before="58" w:line="220" w:lineRule="auto"/>
              <w:jc w:val="center"/>
              <w:rPr>
                <w:rFonts w:hint="eastAsia" w:ascii="仿宋_GB2312" w:hAnsi="仿宋_GB2312" w:eastAsia="仿宋_GB2312" w:cs="仿宋_GB2312"/>
                <w:color w:val="auto"/>
                <w:spacing w:val="-2"/>
                <w:sz w:val="24"/>
                <w:szCs w:val="24"/>
                <w:lang w:eastAsia="zh-CN"/>
              </w:rPr>
            </w:pPr>
            <w:r>
              <w:rPr>
                <w:rFonts w:hint="eastAsia" w:ascii="仿宋_GB2312" w:hAnsi="仿宋_GB2312" w:eastAsia="仿宋_GB2312" w:cs="仿宋_GB2312"/>
                <w:color w:val="auto"/>
                <w:spacing w:val="-2"/>
                <w:sz w:val="24"/>
                <w:szCs w:val="24"/>
                <w:lang w:val="en-US" w:eastAsia="zh-CN"/>
              </w:rPr>
              <w:t>视频大小</w:t>
            </w:r>
          </w:p>
        </w:tc>
        <w:tc>
          <w:tcPr>
            <w:tcW w:w="3060" w:type="pct"/>
            <w:vAlign w:val="center"/>
          </w:tcPr>
          <w:p w14:paraId="072304C7">
            <w:pPr>
              <w:pStyle w:val="7"/>
              <w:spacing w:before="65" w:line="270" w:lineRule="auto"/>
              <w:ind w:left="112" w:right="107" w:hanging="2"/>
              <w:jc w:val="both"/>
              <w:rPr>
                <w:rFonts w:hint="eastAsia"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lang w:val="en-US" w:eastAsia="zh-CN"/>
              </w:rPr>
              <w:t>参赛作品</w:t>
            </w:r>
            <w:r>
              <w:rPr>
                <w:rFonts w:hint="eastAsia" w:ascii="仿宋_GB2312" w:hAnsi="仿宋_GB2312" w:eastAsia="仿宋_GB2312" w:cs="仿宋_GB2312"/>
                <w:color w:val="auto"/>
                <w:spacing w:val="-3"/>
                <w:sz w:val="24"/>
                <w:szCs w:val="24"/>
              </w:rPr>
              <w:t>单个视频大小为200-300M之间。</w:t>
            </w:r>
          </w:p>
        </w:tc>
      </w:tr>
      <w:tr w14:paraId="11F5F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56" w:type="pct"/>
            <w:vMerge w:val="continue"/>
            <w:tcBorders>
              <w:top w:val="nil"/>
              <w:bottom w:val="nil"/>
            </w:tcBorders>
            <w:vAlign w:val="center"/>
          </w:tcPr>
          <w:p w14:paraId="1DE60D0E">
            <w:pPr>
              <w:jc w:val="center"/>
              <w:rPr>
                <w:rFonts w:hint="eastAsia" w:ascii="仿宋_GB2312" w:hAnsi="仿宋_GB2312" w:eastAsia="仿宋_GB2312" w:cs="仿宋_GB2312"/>
                <w:color w:val="auto"/>
                <w:sz w:val="21"/>
              </w:rPr>
            </w:pPr>
          </w:p>
        </w:tc>
        <w:tc>
          <w:tcPr>
            <w:tcW w:w="1183" w:type="pct"/>
            <w:vAlign w:val="center"/>
          </w:tcPr>
          <w:p w14:paraId="2777F425">
            <w:pPr>
              <w:pStyle w:val="7"/>
              <w:spacing w:before="58" w:line="220" w:lineRule="auto"/>
              <w:jc w:val="center"/>
              <w:rPr>
                <w:rFonts w:hint="eastAsia" w:ascii="仿宋_GB2312" w:hAnsi="仿宋_GB2312" w:eastAsia="仿宋_GB2312" w:cs="仿宋_GB2312"/>
                <w:color w:val="auto"/>
                <w:spacing w:val="-2"/>
                <w:sz w:val="24"/>
                <w:szCs w:val="24"/>
                <w:lang w:eastAsia="zh-CN"/>
              </w:rPr>
            </w:pPr>
            <w:r>
              <w:rPr>
                <w:rFonts w:hint="eastAsia" w:ascii="仿宋_GB2312" w:hAnsi="仿宋_GB2312" w:eastAsia="仿宋_GB2312" w:cs="仿宋_GB2312"/>
                <w:color w:val="auto"/>
                <w:spacing w:val="-2"/>
                <w:sz w:val="24"/>
                <w:szCs w:val="24"/>
                <w:lang w:val="en-US" w:eastAsia="zh-CN"/>
              </w:rPr>
              <w:t>视频时长</w:t>
            </w:r>
          </w:p>
        </w:tc>
        <w:tc>
          <w:tcPr>
            <w:tcW w:w="3060" w:type="pct"/>
            <w:vAlign w:val="center"/>
          </w:tcPr>
          <w:p w14:paraId="32D7E3DD">
            <w:pPr>
              <w:pStyle w:val="7"/>
              <w:spacing w:before="65" w:line="270" w:lineRule="auto"/>
              <w:ind w:left="112" w:right="107" w:hanging="2"/>
              <w:jc w:val="both"/>
              <w:rPr>
                <w:rFonts w:hint="eastAsia"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lang w:val="en-US" w:eastAsia="zh-CN"/>
              </w:rPr>
              <w:t>参赛作品单个视频</w:t>
            </w:r>
            <w:r>
              <w:rPr>
                <w:rFonts w:hint="eastAsia" w:ascii="仿宋_GB2312" w:hAnsi="仿宋_GB2312" w:eastAsia="仿宋_GB2312" w:cs="仿宋_GB2312"/>
                <w:color w:val="auto"/>
                <w:spacing w:val="-3"/>
                <w:sz w:val="24"/>
                <w:szCs w:val="24"/>
              </w:rPr>
              <w:t>时长原则上不超过3分钟。</w:t>
            </w:r>
          </w:p>
        </w:tc>
      </w:tr>
      <w:tr w14:paraId="7D56B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756" w:type="pct"/>
            <w:vMerge w:val="continue"/>
            <w:tcBorders>
              <w:top w:val="nil"/>
            </w:tcBorders>
            <w:vAlign w:val="center"/>
          </w:tcPr>
          <w:p w14:paraId="2D349C16">
            <w:pPr>
              <w:jc w:val="center"/>
              <w:rPr>
                <w:rFonts w:hint="eastAsia" w:ascii="仿宋_GB2312" w:hAnsi="仿宋_GB2312" w:eastAsia="仿宋_GB2312" w:cs="仿宋_GB2312"/>
                <w:color w:val="auto"/>
                <w:sz w:val="21"/>
              </w:rPr>
            </w:pPr>
          </w:p>
        </w:tc>
        <w:tc>
          <w:tcPr>
            <w:tcW w:w="1183" w:type="pct"/>
            <w:vAlign w:val="center"/>
          </w:tcPr>
          <w:p w14:paraId="6560F235">
            <w:pPr>
              <w:pStyle w:val="7"/>
              <w:spacing w:before="58" w:line="220" w:lineRule="auto"/>
              <w:jc w:val="center"/>
              <w:rPr>
                <w:rFonts w:hint="eastAsia" w:ascii="仿宋_GB2312" w:hAnsi="仿宋_GB2312" w:eastAsia="仿宋_GB2312" w:cs="仿宋_GB2312"/>
                <w:color w:val="auto"/>
                <w:spacing w:val="-2"/>
                <w:sz w:val="24"/>
                <w:szCs w:val="24"/>
                <w:lang w:val="en-US" w:eastAsia="zh-CN"/>
              </w:rPr>
            </w:pPr>
            <w:r>
              <w:rPr>
                <w:rFonts w:hint="eastAsia" w:ascii="仿宋_GB2312" w:hAnsi="仿宋_GB2312" w:eastAsia="仿宋_GB2312" w:cs="仿宋_GB2312"/>
                <w:color w:val="auto"/>
                <w:spacing w:val="-2"/>
                <w:sz w:val="24"/>
                <w:szCs w:val="24"/>
                <w:lang w:val="en-US" w:eastAsia="zh-CN"/>
              </w:rPr>
              <w:t>水印</w:t>
            </w:r>
          </w:p>
        </w:tc>
        <w:tc>
          <w:tcPr>
            <w:tcW w:w="3060" w:type="pct"/>
            <w:vAlign w:val="center"/>
          </w:tcPr>
          <w:p w14:paraId="33E1EEF5">
            <w:pPr>
              <w:pStyle w:val="7"/>
              <w:spacing w:before="70" w:line="269" w:lineRule="auto"/>
              <w:ind w:left="113" w:right="105" w:firstLine="6"/>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参赛作品一律不得出现任何剪辑软件、播放器、推荐单位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以及参赛个人(团队)等水印标识</w:t>
            </w:r>
          </w:p>
        </w:tc>
      </w:tr>
    </w:tbl>
    <w:p w14:paraId="3D867C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B4348F4-E3FC-43F6-8F0C-01308FC66C62}"/>
  </w:font>
  <w:font w:name="方正小标宋简体">
    <w:panose1 w:val="02000000000000000000"/>
    <w:charset w:val="86"/>
    <w:family w:val="script"/>
    <w:pitch w:val="default"/>
    <w:sig w:usb0="00000001" w:usb1="08000000" w:usb2="00000000" w:usb3="00000000" w:csb0="00040000" w:csb1="00000000"/>
    <w:embedRegular r:id="rId2" w:fontKey="{70DC89F2-2B37-495D-A24E-EF97D3A6CBB4}"/>
  </w:font>
  <w:font w:name="仿宋_GB2312">
    <w:panose1 w:val="02010609030101010101"/>
    <w:charset w:val="86"/>
    <w:family w:val="modern"/>
    <w:pitch w:val="default"/>
    <w:sig w:usb0="00000001" w:usb1="080E0000" w:usb2="00000000" w:usb3="00000000" w:csb0="00040000" w:csb1="00000000"/>
    <w:embedRegular r:id="rId3" w:fontKey="{379D2B48-6CA7-425C-A32D-78F5E4AD898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yZjU3MTY3YWVmMzJmOTBkYWMwNmE3NjMwZDExNjgifQ=="/>
  </w:docVars>
  <w:rsids>
    <w:rsidRoot w:val="7E7649FF"/>
    <w:rsid w:val="7E764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header"/>
    <w:basedOn w:val="1"/>
    <w:next w:val="3"/>
    <w:qFormat/>
    <w:uiPriority w:val="0"/>
    <w:pPr>
      <w:pBdr>
        <w:bottom w:val="single" w:color="auto" w:sz="6" w:space="1"/>
      </w:pBdr>
      <w:snapToGrid w:val="0"/>
      <w:jc w:val="center"/>
    </w:pPr>
    <w:rPr>
      <w:sz w:val="18"/>
      <w:szCs w:val="18"/>
    </w:rPr>
  </w:style>
  <w:style w:type="paragraph" w:customStyle="1" w:styleId="3">
    <w:name w:val="_Style 3"/>
    <w:next w:val="1"/>
    <w:qFormat/>
    <w:uiPriority w:val="99"/>
    <w:pPr>
      <w:wordWrap w:val="0"/>
      <w:spacing w:before="200" w:after="160"/>
      <w:ind w:left="3680" w:right="864"/>
      <w:jc w:val="center"/>
    </w:pPr>
    <w:rPr>
      <w:rFonts w:ascii="Times New Roman" w:hAnsi="Times New Roman" w:eastAsia="宋体" w:cs="Times New Roman"/>
      <w:i/>
      <w:iCs/>
      <w:sz w:val="21"/>
      <w:szCs w:val="22"/>
      <w:lang w:val="en-US" w:eastAsia="zh-CN" w:bidi="ar-SA"/>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paragraph" w:customStyle="1" w:styleId="7">
    <w:name w:val="Table Text"/>
    <w:basedOn w:val="1"/>
    <w:semiHidden/>
    <w:qFormat/>
    <w:uiPriority w:val="0"/>
    <w:rPr>
      <w:rFonts w:ascii="宋体" w:hAnsi="宋体" w:eastAsia="宋体" w:cs="宋体"/>
      <w:sz w:val="18"/>
      <w:szCs w:val="18"/>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2024-08-26T01:35:00Z</dcterms:created>
  <dc:creator>志泽</dc:creator>
  <cp:lastModifiedBy>志泽</cp:lastModifiedBy>
  <dcterms:modified xsi:type="dcterms:W3CDTF">2024-08-26T01:35:57Z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173A866E18FA4D4E99C26ADA24B36B71_11</vt:lpwstr>
  </property>
</Properties>
</file>