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492EC" w14:textId="6921AEE5" w:rsidR="00D23E5F" w:rsidRDefault="00000000">
      <w:pPr>
        <w:spacing w:line="580" w:lineRule="exact"/>
        <w:rPr>
          <w:rFonts w:ascii="Times New Roman" w:eastAsia="黑体" w:hAnsi="Times New Roman" w:cs="Times New Roman" w:hint="eastAsia"/>
          <w:sz w:val="32"/>
          <w:szCs w:val="32"/>
        </w:rPr>
      </w:pPr>
      <w:r>
        <w:rPr>
          <w:rFonts w:ascii="Times New Roman" w:eastAsia="黑体" w:hAnsi="Times New Roman" w:cs="Times New Roman"/>
          <w:sz w:val="32"/>
          <w:szCs w:val="32"/>
        </w:rPr>
        <w:t>附件</w:t>
      </w:r>
      <w:r w:rsidR="007A1454">
        <w:rPr>
          <w:rFonts w:ascii="Times New Roman" w:eastAsia="黑体" w:hAnsi="Times New Roman" w:cs="Times New Roman" w:hint="eastAsia"/>
          <w:sz w:val="32"/>
          <w:szCs w:val="32"/>
        </w:rPr>
        <w:t>5</w:t>
      </w:r>
    </w:p>
    <w:p w14:paraId="43E51FA2" w14:textId="77777777" w:rsidR="00D23E5F" w:rsidRDefault="00D23E5F">
      <w:pPr>
        <w:spacing w:line="400" w:lineRule="exact"/>
        <w:rPr>
          <w:rFonts w:ascii="Times New Roman" w:eastAsia="仿宋_GB2312" w:hAnsi="Times New Roman" w:cs="Times New Roman"/>
          <w:sz w:val="32"/>
          <w:szCs w:val="32"/>
        </w:rPr>
      </w:pPr>
    </w:p>
    <w:p w14:paraId="47FB50A9" w14:textId="77777777" w:rsidR="00D23E5F" w:rsidRDefault="00000000">
      <w:pPr>
        <w:spacing w:line="58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202</w:t>
      </w:r>
      <w:r>
        <w:rPr>
          <w:rFonts w:ascii="Times New Roman" w:eastAsia="方正小标宋简体" w:hAnsi="Times New Roman" w:cs="Times New Roman" w:hint="eastAsia"/>
          <w:color w:val="000000"/>
          <w:kern w:val="0"/>
          <w:sz w:val="44"/>
          <w:szCs w:val="44"/>
        </w:rPr>
        <w:t>4</w:t>
      </w:r>
      <w:r>
        <w:rPr>
          <w:rFonts w:ascii="Times New Roman" w:eastAsia="方正小标宋简体" w:hAnsi="Times New Roman" w:cs="Times New Roman"/>
          <w:color w:val="000000"/>
          <w:kern w:val="0"/>
          <w:sz w:val="44"/>
          <w:szCs w:val="44"/>
        </w:rPr>
        <w:t>年度教育部哲学社会科学研究重大课题攻关项目和高校思想政治理论课教师研究</w:t>
      </w:r>
    </w:p>
    <w:p w14:paraId="0F522FD3" w14:textId="77777777" w:rsidR="00D23E5F" w:rsidRDefault="00000000">
      <w:pPr>
        <w:spacing w:line="580" w:lineRule="exact"/>
        <w:jc w:val="center"/>
        <w:rPr>
          <w:rFonts w:ascii="Times New Roman" w:eastAsia="方正小标宋简体" w:hAnsi="Times New Roman" w:cs="Times New Roman"/>
          <w:color w:val="000000"/>
          <w:kern w:val="0"/>
          <w:sz w:val="36"/>
          <w:szCs w:val="36"/>
        </w:rPr>
      </w:pPr>
      <w:proofErr w:type="gramStart"/>
      <w:r>
        <w:rPr>
          <w:rFonts w:ascii="Times New Roman" w:eastAsia="方正小标宋简体" w:hAnsi="Times New Roman" w:cs="Times New Roman"/>
          <w:color w:val="000000"/>
          <w:kern w:val="0"/>
          <w:sz w:val="44"/>
          <w:szCs w:val="44"/>
        </w:rPr>
        <w:t>专项重大</w:t>
      </w:r>
      <w:proofErr w:type="gramEnd"/>
      <w:r>
        <w:rPr>
          <w:rFonts w:ascii="Times New Roman" w:eastAsia="方正小标宋简体" w:hAnsi="Times New Roman" w:cs="Times New Roman"/>
          <w:color w:val="000000"/>
          <w:kern w:val="0"/>
          <w:sz w:val="44"/>
          <w:szCs w:val="44"/>
        </w:rPr>
        <w:t>课题攻关项目</w:t>
      </w:r>
      <w:r>
        <w:rPr>
          <w:rFonts w:ascii="Times New Roman" w:eastAsia="方正小标宋简体" w:hAnsi="Times New Roman" w:cs="Times New Roman"/>
          <w:sz w:val="44"/>
          <w:szCs w:val="44"/>
        </w:rPr>
        <w:t>申报常见问题答疑</w:t>
      </w:r>
    </w:p>
    <w:p w14:paraId="5F016F9E" w14:textId="77777777" w:rsidR="00D23E5F" w:rsidRDefault="00D23E5F">
      <w:pPr>
        <w:spacing w:line="400" w:lineRule="exact"/>
        <w:ind w:firstLineChars="200" w:firstLine="640"/>
        <w:rPr>
          <w:rFonts w:ascii="Times New Roman" w:eastAsia="仿宋_GB2312" w:hAnsi="Times New Roman" w:cs="Times New Roman"/>
          <w:sz w:val="32"/>
          <w:szCs w:val="32"/>
        </w:rPr>
      </w:pPr>
    </w:p>
    <w:p w14:paraId="5523E28E"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哪些人员可以作为首席专家参加重大攻关项目的投标？</w:t>
      </w:r>
    </w:p>
    <w:p w14:paraId="5CB7397A"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两类重大攻关项目首席专家（投标者）都必须是法人（高等学校）担保的高等学校具有正高级专业技术职称的有关人员，能够担负起课题研究实际组织和指导责任。</w:t>
      </w:r>
    </w:p>
    <w:p w14:paraId="7C24D9A1" w14:textId="77777777" w:rsidR="00D23E5F" w:rsidRDefault="00000000">
      <w:pPr>
        <w:adjustRightInd w:val="0"/>
        <w:snapToGrid w:val="0"/>
        <w:spacing w:line="55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32"/>
          <w:szCs w:val="32"/>
        </w:rPr>
        <w:t>同时，高校思想政治理论课教师研究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w:t>
      </w:r>
      <w:r>
        <w:rPr>
          <w:rFonts w:ascii="Times New Roman" w:eastAsia="仿宋_GB2312" w:hAnsi="Times New Roman"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高校思想政治理论课教师信息库</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为准。</w:t>
      </w:r>
    </w:p>
    <w:p w14:paraId="2CBDED4D" w14:textId="77777777" w:rsidR="00D23E5F" w:rsidRDefault="00000000">
      <w:pPr>
        <w:adjustRightInd w:val="0"/>
        <w:snapToGrid w:val="0"/>
        <w:spacing w:line="55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shd w:val="clear" w:color="auto" w:fill="FFFFFF"/>
        </w:rPr>
        <w:t>首席专家可以同时投标本次的两类重大攻关项目吗？</w:t>
      </w:r>
    </w:p>
    <w:p w14:paraId="0D456789"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不可以。只能选择两类招标课题中的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项进行投标。</w:t>
      </w:r>
    </w:p>
    <w:p w14:paraId="3AA1ADF7"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课题组成员可以是非高校系统人员吗？</w:t>
      </w:r>
    </w:p>
    <w:p w14:paraId="679BA33C"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可以。课题组成员既可是高校教师，也可是非高校系统的人员。重大攻关项目鼓励协同攻关。</w:t>
      </w:r>
    </w:p>
    <w:p w14:paraId="58D23213"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首席专家可以是两个人或更多人吗？</w:t>
      </w:r>
    </w:p>
    <w:p w14:paraId="12D7F7B8"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不可以，首席专家只能是一人。校内多家单位</w:t>
      </w:r>
      <w:proofErr w:type="gramStart"/>
      <w:r>
        <w:rPr>
          <w:rFonts w:ascii="Times New Roman" w:eastAsia="仿宋_GB2312" w:hAnsi="Times New Roman" w:cs="Times New Roman"/>
          <w:sz w:val="32"/>
          <w:szCs w:val="32"/>
        </w:rPr>
        <w:t>或多校联合投标</w:t>
      </w:r>
      <w:proofErr w:type="gramEnd"/>
      <w:r>
        <w:rPr>
          <w:rFonts w:ascii="Times New Roman" w:eastAsia="仿宋_GB2312" w:hAnsi="Times New Roman" w:cs="Times New Roman"/>
          <w:sz w:val="32"/>
          <w:szCs w:val="32"/>
        </w:rPr>
        <w:t>，也只能由其中一人作为首席专家来进行投标。</w:t>
      </w:r>
    </w:p>
    <w:p w14:paraId="02470824"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首席专家可以作为子课题负责人或课题组成员参与本次投标的其他课题吗？</w:t>
      </w:r>
    </w:p>
    <w:p w14:paraId="7A100CB0"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不可以。</w:t>
      </w:r>
    </w:p>
    <w:p w14:paraId="54C3C44F"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子课题负责人或课题组成员最多参与几个课题投标？</w:t>
      </w:r>
    </w:p>
    <w:p w14:paraId="754EEBBA"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bookmarkStart w:id="0" w:name="_Hlk76457757"/>
      <w:r>
        <w:rPr>
          <w:rFonts w:ascii="Times New Roman" w:eastAsia="仿宋_GB2312" w:hAnsi="Times New Roman" w:cs="Times New Roman"/>
          <w:sz w:val="32"/>
          <w:szCs w:val="32"/>
        </w:rPr>
        <w:t>子课题负责人本次只能参与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个课题投标，课题组成员最多参与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个课题投标</w:t>
      </w:r>
      <w:bookmarkEnd w:id="0"/>
      <w:r>
        <w:rPr>
          <w:rFonts w:ascii="Times New Roman" w:eastAsia="仿宋_GB2312" w:hAnsi="Times New Roman" w:cs="Times New Roman"/>
          <w:sz w:val="32"/>
          <w:szCs w:val="32"/>
        </w:rPr>
        <w:t>。首席专家在组建课题组时应严格把握相关要求，并对此负主要责任。</w:t>
      </w:r>
    </w:p>
    <w:p w14:paraId="6FB64763"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哪些情况不能参与重大攻关项目的投标？</w:t>
      </w:r>
    </w:p>
    <w:p w14:paraId="3EDD94E1"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有以下情况之一者不得投标：</w:t>
      </w:r>
    </w:p>
    <w:p w14:paraId="55A55594"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）承担国家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基金重大项目、重大研究专项项目及其他国家级科研重大项目尚未完成者；</w:t>
      </w:r>
    </w:p>
    <w:p w14:paraId="42D0E070"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）承担历年教育部人文社会科学重点研究基地重大项目、教育部哲学社会科学研究后期资助重大项目尚未完成者；</w:t>
      </w:r>
    </w:p>
    <w:p w14:paraId="623F0213"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）正在承担教育部哲学社会科学研究重大课题攻关项目、高校思想政治理论课教师研究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课题攻关项目的首席专家，在</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日前未提出最终成果鉴定申请者。</w:t>
      </w:r>
    </w:p>
    <w:p w14:paraId="263F877E"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参加</w:t>
      </w:r>
      <w:r>
        <w:rPr>
          <w:rFonts w:ascii="Times New Roman" w:eastAsia="仿宋_GB2312" w:hAnsi="Times New Roman" w:cs="Times New Roman" w:hint="eastAsia"/>
          <w:sz w:val="32"/>
          <w:szCs w:val="32"/>
        </w:rPr>
        <w:t>2024</w:t>
      </w:r>
      <w:r>
        <w:rPr>
          <w:rFonts w:ascii="Times New Roman" w:eastAsia="仿宋_GB2312" w:hAnsi="Times New Roman" w:cs="Times New Roman"/>
          <w:sz w:val="32"/>
          <w:szCs w:val="32"/>
        </w:rPr>
        <w:t>年国家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基金重大项目的首席专家能投标本次教育部的重大攻关项目吗？</w:t>
      </w:r>
    </w:p>
    <w:p w14:paraId="6E3DB886"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不可以。同年度申请国家社会科学基金重大项目、重大研究专项项目及其他国家级科研重大项目的首席专家不能投标本次教育部的重大攻关项目。</w:t>
      </w:r>
    </w:p>
    <w:p w14:paraId="50DCDF05"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招标课题名称可以进行改动吗？</w:t>
      </w:r>
    </w:p>
    <w:p w14:paraId="4464A3D9"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不可以。投标者不得自行改动投标课题名称，也不能增加副标题。</w:t>
      </w:r>
    </w:p>
    <w:p w14:paraId="63EE9E49"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课题攻关项目《投标评审书》中的主要阶段性成果和最终成果填写有何注意</w:t>
      </w:r>
      <w:r>
        <w:rPr>
          <w:rFonts w:ascii="Times New Roman" w:eastAsia="仿宋_GB2312" w:hAnsi="Times New Roman" w:cs="Times New Roman"/>
          <w:sz w:val="32"/>
          <w:szCs w:val="32"/>
        </w:rPr>
        <w:lastRenderedPageBreak/>
        <w:t>事项？</w:t>
      </w:r>
      <w:r>
        <w:rPr>
          <w:rFonts w:ascii="Times New Roman" w:eastAsia="仿宋_GB2312" w:hAnsi="Times New Roman" w:cs="Times New Roman"/>
          <w:sz w:val="32"/>
          <w:szCs w:val="32"/>
        </w:rPr>
        <w:t xml:space="preserve"> </w:t>
      </w:r>
    </w:p>
    <w:p w14:paraId="543B4A48"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主要阶段性成果和最终成果形式除论文或专著外，还要结合各个选题的特点，体现为有一定规模的研讨交流、指标体系、政策咨询报告、服务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教学和媒体推广等实践应用成果。需将有关成果形式一一列出。最终成果形式将作为评审的重要参考。</w:t>
      </w:r>
    </w:p>
    <w:p w14:paraId="019D9E5A"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bookmarkStart w:id="1" w:name="_Hlk13150934"/>
      <w:r>
        <w:rPr>
          <w:rFonts w:ascii="Times New Roman" w:eastAsia="仿宋_GB2312" w:hAnsi="Times New Roman" w:cs="Times New Roman"/>
          <w:sz w:val="32"/>
          <w:szCs w:val="32"/>
        </w:rPr>
        <w:t>经费预算填报有何要求？</w:t>
      </w:r>
      <w:bookmarkEnd w:id="1"/>
    </w:p>
    <w:p w14:paraId="16D08F48" w14:textId="77777777" w:rsidR="00D23E5F" w:rsidRDefault="00000000">
      <w:pPr>
        <w:pStyle w:val="a5"/>
        <w:tabs>
          <w:tab w:val="left" w:pos="1526"/>
        </w:tabs>
        <w:adjustRightInd w:val="0"/>
        <w:snapToGrid w:val="0"/>
        <w:spacing w:line="550" w:lineRule="exact"/>
        <w:ind w:firstLine="640"/>
        <w:rPr>
          <w:rFonts w:ascii="Times New Roman" w:hAnsi="Times New Roman"/>
          <w:color w:val="000000"/>
          <w:sz w:val="32"/>
          <w:szCs w:val="32"/>
        </w:rPr>
      </w:pPr>
      <w:r>
        <w:rPr>
          <w:rFonts w:ascii="Times New Roman" w:hAnsi="Times New Roman"/>
          <w:bCs/>
          <w:kern w:val="0"/>
          <w:sz w:val="32"/>
          <w:szCs w:val="32"/>
        </w:rPr>
        <w:t>——</w:t>
      </w:r>
      <w:r>
        <w:rPr>
          <w:rFonts w:ascii="Times New Roman" w:hAnsi="Times New Roman" w:hint="eastAsia"/>
          <w:bCs/>
          <w:kern w:val="0"/>
          <w:sz w:val="32"/>
          <w:szCs w:val="32"/>
        </w:rPr>
        <w:t>项目经费按照《高等学校哲学社会科学繁荣计划专项资金管理办法》（</w:t>
      </w:r>
      <w:proofErr w:type="gramStart"/>
      <w:r>
        <w:rPr>
          <w:rFonts w:ascii="Times New Roman" w:hAnsi="Times New Roman" w:hint="eastAsia"/>
          <w:bCs/>
          <w:kern w:val="0"/>
          <w:sz w:val="32"/>
          <w:szCs w:val="32"/>
        </w:rPr>
        <w:t>财教〔</w:t>
      </w:r>
      <w:r>
        <w:rPr>
          <w:rFonts w:ascii="Times New Roman" w:hAnsi="Times New Roman" w:hint="eastAsia"/>
          <w:bCs/>
          <w:kern w:val="0"/>
          <w:sz w:val="32"/>
          <w:szCs w:val="32"/>
        </w:rPr>
        <w:t>2021</w:t>
      </w:r>
      <w:r>
        <w:rPr>
          <w:rFonts w:ascii="Times New Roman" w:hAnsi="Times New Roman" w:hint="eastAsia"/>
          <w:bCs/>
          <w:kern w:val="0"/>
          <w:sz w:val="32"/>
          <w:szCs w:val="32"/>
        </w:rPr>
        <w:t>〕</w:t>
      </w:r>
      <w:proofErr w:type="gramEnd"/>
      <w:r>
        <w:rPr>
          <w:rFonts w:ascii="Times New Roman" w:hAnsi="Times New Roman" w:hint="eastAsia"/>
          <w:bCs/>
          <w:kern w:val="0"/>
          <w:sz w:val="32"/>
          <w:szCs w:val="32"/>
        </w:rPr>
        <w:t>285</w:t>
      </w:r>
      <w:r>
        <w:rPr>
          <w:rFonts w:ascii="Times New Roman" w:hAnsi="Times New Roman" w:hint="eastAsia"/>
          <w:bCs/>
          <w:kern w:val="0"/>
          <w:sz w:val="32"/>
          <w:szCs w:val="32"/>
        </w:rPr>
        <w:t>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5A15738E" w14:textId="77777777" w:rsidR="00D23E5F" w:rsidRDefault="00000000">
      <w:pPr>
        <w:adjustRightInd w:val="0"/>
        <w:snapToGrid w:val="0"/>
        <w:spacing w:line="55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kern w:val="0"/>
          <w:sz w:val="32"/>
          <w:szCs w:val="32"/>
        </w:rPr>
        <w:t>项目负责人应</w:t>
      </w:r>
      <w:r>
        <w:rPr>
          <w:rFonts w:ascii="Times New Roman" w:eastAsia="仿宋_GB2312" w:hAnsi="Times New Roman" w:cs="Times New Roman"/>
          <w:color w:val="000000"/>
          <w:sz w:val="32"/>
          <w:szCs w:val="32"/>
        </w:rPr>
        <w:t>严格执行批准后的预算，</w:t>
      </w:r>
      <w:r>
        <w:rPr>
          <w:rFonts w:ascii="Times New Roman" w:eastAsia="仿宋_GB2312" w:hAnsi="Times New Roman"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eastAsia="仿宋_GB2312" w:hAnsi="Times New Roman" w:cs="Times New Roman"/>
          <w:color w:val="000000"/>
          <w:sz w:val="32"/>
          <w:szCs w:val="32"/>
        </w:rPr>
        <w:t>间接费用由项目承担高校统筹安排使用。项目承担高校应当公开透明、合理合</w:t>
      </w:r>
      <w:proofErr w:type="gramStart"/>
      <w:r>
        <w:rPr>
          <w:rFonts w:ascii="Times New Roman" w:eastAsia="仿宋_GB2312" w:hAnsi="Times New Roman" w:cs="Times New Roman"/>
          <w:color w:val="000000"/>
          <w:sz w:val="32"/>
          <w:szCs w:val="32"/>
        </w:rPr>
        <w:t>规</w:t>
      </w:r>
      <w:proofErr w:type="gramEnd"/>
      <w:r>
        <w:rPr>
          <w:rFonts w:ascii="Times New Roman" w:eastAsia="仿宋_GB2312" w:hAnsi="Times New Roman" w:cs="Times New Roman"/>
          <w:color w:val="000000"/>
          <w:sz w:val="32"/>
          <w:szCs w:val="32"/>
        </w:rPr>
        <w:t>使用间接费用，处理好分摊间接成本和对科研人员激励的关系。绩效支出安排应当与科研人员在研究工作中的实际贡献挂钩，可以将间接费用全部用于绩效支出，并向创新绩效</w:t>
      </w:r>
      <w:r>
        <w:rPr>
          <w:rFonts w:ascii="Times New Roman" w:eastAsia="仿宋_GB2312" w:hAnsi="Times New Roman" w:cs="Times New Roman"/>
          <w:color w:val="000000"/>
          <w:sz w:val="32"/>
          <w:szCs w:val="32"/>
        </w:rPr>
        <w:lastRenderedPageBreak/>
        <w:t>突出的团队和个人倾斜。</w:t>
      </w:r>
    </w:p>
    <w:p w14:paraId="03FEEEFC" w14:textId="77777777" w:rsidR="00D23E5F" w:rsidRDefault="00000000">
      <w:pPr>
        <w:adjustRightInd w:val="0"/>
        <w:snapToGrid w:val="0"/>
        <w:spacing w:line="55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跨单位合作的科研活动，</w:t>
      </w:r>
      <w:proofErr w:type="gramStart"/>
      <w:r>
        <w:rPr>
          <w:rFonts w:ascii="Times New Roman" w:eastAsia="仿宋_GB2312" w:hAnsi="Times New Roman" w:cs="Times New Roman"/>
          <w:color w:val="000000"/>
          <w:sz w:val="32"/>
          <w:szCs w:val="32"/>
        </w:rPr>
        <w:t>确需外拨资金</w:t>
      </w:r>
      <w:proofErr w:type="gramEnd"/>
      <w:r>
        <w:rPr>
          <w:rFonts w:ascii="Times New Roman" w:eastAsia="仿宋_GB2312" w:hAnsi="Times New Roman" w:cs="Times New Roman"/>
          <w:color w:val="000000"/>
          <w:sz w:val="32"/>
          <w:szCs w:val="32"/>
        </w:rPr>
        <w:t>的，应当在预算中单独列示，并对合作研究单位资质、承担的研究任务、</w:t>
      </w:r>
      <w:proofErr w:type="gramStart"/>
      <w:r>
        <w:rPr>
          <w:rFonts w:ascii="Times New Roman" w:eastAsia="仿宋_GB2312" w:hAnsi="Times New Roman" w:cs="Times New Roman"/>
          <w:color w:val="000000"/>
          <w:sz w:val="32"/>
          <w:szCs w:val="32"/>
        </w:rPr>
        <w:t>外拨资金</w:t>
      </w:r>
      <w:proofErr w:type="gramEnd"/>
      <w:r>
        <w:rPr>
          <w:rFonts w:ascii="Times New Roman" w:eastAsia="仿宋_GB2312" w:hAnsi="Times New Roman" w:cs="Times New Roman"/>
          <w:color w:val="000000"/>
          <w:sz w:val="32"/>
          <w:szCs w:val="32"/>
        </w:rPr>
        <w:t>额度等进行说明。间接</w:t>
      </w:r>
      <w:proofErr w:type="gramStart"/>
      <w:r>
        <w:rPr>
          <w:rFonts w:ascii="Times New Roman" w:eastAsia="仿宋_GB2312" w:hAnsi="Times New Roman" w:cs="Times New Roman"/>
          <w:color w:val="000000"/>
          <w:sz w:val="32"/>
          <w:szCs w:val="32"/>
        </w:rPr>
        <w:t>费用外拨金额</w:t>
      </w:r>
      <w:proofErr w:type="gramEnd"/>
      <w:r>
        <w:rPr>
          <w:rFonts w:ascii="Times New Roman" w:eastAsia="仿宋_GB2312" w:hAnsi="Times New Roman" w:cs="Times New Roman"/>
          <w:color w:val="000000"/>
          <w:sz w:val="32"/>
          <w:szCs w:val="32"/>
        </w:rPr>
        <w:t>，由项目承担高校和合作研究单位协商确定。</w:t>
      </w:r>
    </w:p>
    <w:p w14:paraId="6622F3FD"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申报方式及材料报送要求是怎样的？</w:t>
      </w:r>
    </w:p>
    <w:p w14:paraId="65F724D2"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本次项目投标通过网络平台在线申报。</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（星期四）</w:t>
      </w:r>
      <w:r>
        <w:rPr>
          <w:rFonts w:ascii="Times New Roman" w:eastAsia="仿宋_GB2312" w:hAnsi="Times New Roman" w:cs="Times New Roman"/>
          <w:sz w:val="32"/>
          <w:szCs w:val="32"/>
        </w:rPr>
        <w:t>开始，各高校科研管理部门登录教育部社会科学司主页（</w:t>
      </w:r>
      <w:r>
        <w:rPr>
          <w:rFonts w:ascii="Times New Roman" w:eastAsia="仿宋_GB2312" w:hAnsi="Times New Roman" w:cs="Times New Roman"/>
          <w:sz w:val="32"/>
          <w:szCs w:val="32"/>
        </w:rPr>
        <w:t>www.moe.gov.cn/s78/A13/</w:t>
      </w:r>
      <w:r>
        <w:rPr>
          <w:rFonts w:ascii="Times New Roman" w:eastAsia="仿宋_GB2312" w:hAnsi="Times New Roman" w:cs="Times New Roman"/>
          <w:sz w:val="32"/>
          <w:szCs w:val="32"/>
        </w:rPr>
        <w:t>）</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教育部人文社会科学研究管理平台</w:t>
      </w:r>
      <w:r>
        <w:rPr>
          <w:rFonts w:ascii="Times New Roman" w:eastAsia="微软雅黑" w:hAnsi="Times New Roman" w:cs="Times New Roman"/>
          <w:sz w:val="32"/>
          <w:szCs w:val="32"/>
        </w:rPr>
        <w:t>•</w:t>
      </w:r>
      <w:r>
        <w:rPr>
          <w:rFonts w:ascii="Times New Roman" w:eastAsia="仿宋_GB2312" w:hAnsi="Times New Roman" w:cs="Times New Roman"/>
          <w:sz w:val="32"/>
          <w:szCs w:val="32"/>
        </w:rPr>
        <w:t>申报系统</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（以下简称申报系统），在相应类别的项目申报模块在线填报投标项目基本信息，并分别上传签字盖章的</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版本《投标评审书》（文件大小不超过</w:t>
      </w:r>
      <w:r>
        <w:rPr>
          <w:rFonts w:ascii="Times New Roman" w:eastAsia="仿宋_GB2312" w:hAnsi="Times New Roman" w:cs="Times New Roman"/>
          <w:sz w:val="32"/>
          <w:szCs w:val="32"/>
        </w:rPr>
        <w:t>20M</w:t>
      </w:r>
      <w:r>
        <w:rPr>
          <w:rFonts w:ascii="Times New Roman" w:eastAsia="仿宋_GB2312" w:hAnsi="Times New Roman" w:cs="Times New Roman"/>
          <w:sz w:val="32"/>
          <w:szCs w:val="32"/>
        </w:rPr>
        <w:t>）及附件材料（文件大小不超过</w:t>
      </w:r>
      <w:r>
        <w:rPr>
          <w:rFonts w:ascii="Times New Roman" w:eastAsia="仿宋_GB2312" w:hAnsi="Times New Roman" w:cs="Times New Roman"/>
          <w:sz w:val="32"/>
          <w:szCs w:val="32"/>
        </w:rPr>
        <w:t>80M</w:t>
      </w:r>
      <w:r>
        <w:rPr>
          <w:rFonts w:ascii="Times New Roman" w:eastAsia="仿宋_GB2312" w:hAnsi="Times New Roman" w:cs="Times New Roman"/>
          <w:sz w:val="32"/>
          <w:szCs w:val="32"/>
        </w:rPr>
        <w:t>）。</w:t>
      </w:r>
    </w:p>
    <w:p w14:paraId="554C8C6A"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（星期五）</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点截止网络申报，高校科研管理部门须在此之前对本校所投标项目的基本信息进行在线审核确认。</w:t>
      </w:r>
    </w:p>
    <w:p w14:paraId="74B3AF92"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申报阶段无需报送各投标项目的纸质申报材料，待立项公布后，已立项项目按要求寄送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份签字盖章的纸质申报材料。教育部哲学社会科学研究重大课题攻关项目报送至高校社会科学研究评价中心，高校思想政治理论课教师研究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课题攻关项目报送至高校社会科学管理咨询服务中心。</w:t>
      </w:r>
    </w:p>
    <w:p w14:paraId="2C6377EA"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2024</w:t>
      </w:r>
      <w:r>
        <w:rPr>
          <w:rFonts w:ascii="Times New Roman" w:eastAsia="仿宋_GB2312" w:hAnsi="Times New Roman" w:cs="Times New Roman"/>
          <w:sz w:val="32"/>
          <w:szCs w:val="32"/>
        </w:rPr>
        <w:t>年项目评审程序怎样？</w:t>
      </w:r>
    </w:p>
    <w:p w14:paraId="7EFC19DB" w14:textId="77777777" w:rsidR="00D23E5F" w:rsidRDefault="00000000">
      <w:pPr>
        <w:adjustRightInd w:val="0"/>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年度重大攻关项目继续实行网上通讯评审。</w:t>
      </w:r>
    </w:p>
    <w:sectPr w:rsidR="00D23E5F">
      <w:footerReference w:type="default" r:id="rId7"/>
      <w:pgSz w:w="11906" w:h="16838"/>
      <w:pgMar w:top="1440" w:right="1588" w:bottom="1701" w:left="1797"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8D6C0" w14:textId="77777777" w:rsidR="00A44E18" w:rsidRDefault="00A44E18">
      <w:pPr>
        <w:rPr>
          <w:rFonts w:hint="eastAsia"/>
        </w:rPr>
      </w:pPr>
      <w:r>
        <w:separator/>
      </w:r>
    </w:p>
  </w:endnote>
  <w:endnote w:type="continuationSeparator" w:id="0">
    <w:p w14:paraId="5F0A5055" w14:textId="77777777" w:rsidR="00A44E18" w:rsidRDefault="00A44E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F675" w14:textId="77777777" w:rsidR="00D23E5F" w:rsidRDefault="00000000">
    <w:pPr>
      <w:pStyle w:val="a9"/>
      <w:jc w:val="center"/>
      <w:rPr>
        <w:rFonts w:hint="eastAsia"/>
        <w:sz w:val="28"/>
        <w:szCs w:val="28"/>
      </w:rPr>
    </w:pPr>
    <w:r>
      <w:rPr>
        <w:noProof/>
        <w:sz w:val="28"/>
      </w:rPr>
      <mc:AlternateContent>
        <mc:Choice Requires="wps">
          <w:drawing>
            <wp:anchor distT="0" distB="0" distL="114300" distR="114300" simplePos="0" relativeHeight="251658240" behindDoc="0" locked="0" layoutInCell="1" allowOverlap="1" wp14:anchorId="79698D68" wp14:editId="6162D10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宋体" w:eastAsia="宋体" w:hAnsi="宋体" w:cs="宋体" w:hint="eastAsia"/>
                              <w:sz w:val="28"/>
                              <w:szCs w:val="28"/>
                            </w:rPr>
                            <w:id w:val="527603038"/>
                          </w:sdtPr>
                          <w:sdtContent>
                            <w:p w14:paraId="26F907E1" w14:textId="77777777" w:rsidR="00D23E5F" w:rsidRDefault="00000000">
                              <w:pPr>
                                <w:pStyle w:val="a9"/>
                                <w:jc w:val="center"/>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sdtContent>
                        </w:sdt>
                        <w:p w14:paraId="3AB00786" w14:textId="77777777" w:rsidR="00D23E5F" w:rsidRDefault="00D23E5F">
                          <w:pPr>
                            <w:rPr>
                              <w:rFonts w:ascii="宋体" w:eastAsia="宋体" w:hAnsi="宋体" w:cs="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527603038"/>
                    </w:sdtPr>
                    <w:sdtEndPr>
                      <w:rPr>
                        <w:rFonts w:hint="eastAsia" w:ascii="宋体" w:hAnsi="宋体" w:eastAsia="宋体" w:cs="宋体"/>
                        <w:sz w:val="28"/>
                        <w:szCs w:val="28"/>
                      </w:rPr>
                    </w:sdtEndPr>
                    <w:sdtContent>
                      <w:p>
                        <w:pPr>
                          <w:pStyle w:val="6"/>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p>
                    <w:pPr>
                      <w:rPr>
                        <w:rFonts w:hint="eastAsia" w:ascii="宋体" w:hAnsi="宋体" w:eastAsia="宋体" w:cs="宋体"/>
                        <w:sz w:val="28"/>
                        <w:szCs w:val="28"/>
                      </w:rPr>
                    </w:pPr>
                  </w:p>
                </w:txbxContent>
              </v:textbox>
            </v:shape>
          </w:pict>
        </mc:Fallback>
      </mc:AlternateContent>
    </w:r>
  </w:p>
  <w:p w14:paraId="527C9CE7" w14:textId="77777777" w:rsidR="00D23E5F" w:rsidRDefault="00D23E5F">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8044A" w14:textId="77777777" w:rsidR="00A44E18" w:rsidRDefault="00A44E18">
      <w:pPr>
        <w:rPr>
          <w:rFonts w:hint="eastAsia"/>
        </w:rPr>
      </w:pPr>
      <w:r>
        <w:separator/>
      </w:r>
    </w:p>
  </w:footnote>
  <w:footnote w:type="continuationSeparator" w:id="0">
    <w:p w14:paraId="633AA1B9" w14:textId="77777777" w:rsidR="00A44E18" w:rsidRDefault="00A44E1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5ZTU0MDIzY2M0YzIzNWIwMjYxZWI1YjRiNTA3NjcifQ=="/>
  </w:docVars>
  <w:rsids>
    <w:rsidRoot w:val="00733DBB"/>
    <w:rsid w:val="EED9EDEA"/>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077B4"/>
    <w:rsid w:val="007258D3"/>
    <w:rsid w:val="00733DBB"/>
    <w:rsid w:val="00772053"/>
    <w:rsid w:val="00785024"/>
    <w:rsid w:val="007865A4"/>
    <w:rsid w:val="007926FB"/>
    <w:rsid w:val="007A1454"/>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44E18"/>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23E5F"/>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6FB0C8D"/>
    <w:rsid w:val="0753012B"/>
    <w:rsid w:val="0CCE61CB"/>
    <w:rsid w:val="10B24BFC"/>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EC8D6"/>
  <w15:docId w15:val="{7AADB2FE-F8FA-43C8-B010-F4DFF95F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520" w:lineRule="exact"/>
      <w:ind w:firstLineChars="200" w:firstLine="560"/>
    </w:pPr>
    <w:rPr>
      <w:rFonts w:ascii="仿宋_GB2312" w:eastAsia="仿宋_GB2312" w:hAnsi="Calibri" w:cs="Times New Roman"/>
      <w:sz w:val="28"/>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pple-converted-space">
    <w:name w:val="apple-converted-space"/>
    <w:basedOn w:val="a0"/>
    <w:qFormat/>
  </w:style>
  <w:style w:type="character" w:customStyle="1" w:styleId="1">
    <w:name w:val="未处理的提及1"/>
    <w:basedOn w:val="a0"/>
    <w:uiPriority w:val="99"/>
    <w:semiHidden/>
    <w:unhideWhenUsed/>
    <w:qFormat/>
    <w:rPr>
      <w:color w:val="808080"/>
      <w:shd w:val="clear" w:color="auto" w:fill="E6E6E6"/>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6">
    <w:name w:val="正文文本缩进 字符"/>
    <w:basedOn w:val="a0"/>
    <w:link w:val="a5"/>
    <w:qFormat/>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yonggui liu</cp:lastModifiedBy>
  <cp:revision>6</cp:revision>
  <cp:lastPrinted>2024-08-05T15:24:00Z</cp:lastPrinted>
  <dcterms:created xsi:type="dcterms:W3CDTF">2023-06-27T09:28:00Z</dcterms:created>
  <dcterms:modified xsi:type="dcterms:W3CDTF">2024-08-19T03:51:00Z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8FAA97CDBA7D4F84B92F76D2D4E43AF3_13</vt:lpwstr>
  </property>
</Properties>
</file>